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B2CB0" w14:textId="4221690C" w:rsidR="00492004" w:rsidRPr="009D673B" w:rsidRDefault="00492004" w:rsidP="00492004">
      <w:pPr>
        <w:spacing w:after="0" w:line="240" w:lineRule="auto"/>
        <w:contextualSpacing/>
        <w:jc w:val="both"/>
        <w:rPr>
          <w:rFonts w:ascii="Arial" w:hAnsi="Arial" w:cs="Arial"/>
          <w:sz w:val="18"/>
          <w:szCs w:val="18"/>
        </w:rPr>
      </w:pPr>
      <w:r w:rsidRPr="009D673B">
        <w:rPr>
          <w:rFonts w:ascii="Arial" w:hAnsi="Arial" w:cs="Arial"/>
          <w:sz w:val="18"/>
          <w:szCs w:val="18"/>
        </w:rPr>
        <w:t>Zgodnie z § 52 ust. 1 uchwały nr 190 Rady Ministrów z dnia 29 października 2013 r. – Regulamin pracy Rady Ministrów (M.P. z 20</w:t>
      </w:r>
      <w:r w:rsidR="00786C38">
        <w:rPr>
          <w:rFonts w:ascii="Arial" w:hAnsi="Arial" w:cs="Arial"/>
          <w:sz w:val="18"/>
          <w:szCs w:val="18"/>
        </w:rPr>
        <w:t>22</w:t>
      </w:r>
      <w:r w:rsidRPr="009D673B">
        <w:rPr>
          <w:rFonts w:ascii="Arial" w:hAnsi="Arial" w:cs="Arial"/>
          <w:sz w:val="18"/>
          <w:szCs w:val="18"/>
        </w:rPr>
        <w:t xml:space="preserve"> r. poz. </w:t>
      </w:r>
      <w:r w:rsidR="00786C38">
        <w:rPr>
          <w:rFonts w:ascii="Arial" w:hAnsi="Arial" w:cs="Arial"/>
          <w:sz w:val="18"/>
          <w:szCs w:val="18"/>
        </w:rPr>
        <w:t>348</w:t>
      </w:r>
      <w:r w:rsidRPr="009D673B">
        <w:rPr>
          <w:rFonts w:ascii="Arial" w:hAnsi="Arial" w:cs="Arial"/>
          <w:sz w:val="18"/>
          <w:szCs w:val="18"/>
        </w:rPr>
        <w:t>) projekt rozporządzenia został zamieszczony w Biuletynie Informacji Publicznej Rządowego Centrum Legislacji w zakładce Rządowy Proces Legislacyjny.</w:t>
      </w:r>
    </w:p>
    <w:p w14:paraId="48FE5EC3" w14:textId="77777777" w:rsidR="00492004" w:rsidRPr="009D673B" w:rsidRDefault="00492004" w:rsidP="00492004">
      <w:pPr>
        <w:spacing w:after="0" w:line="240" w:lineRule="auto"/>
        <w:contextualSpacing/>
        <w:jc w:val="both"/>
        <w:rPr>
          <w:rFonts w:ascii="Arial" w:hAnsi="Arial" w:cs="Arial"/>
          <w:sz w:val="18"/>
          <w:szCs w:val="18"/>
        </w:rPr>
      </w:pPr>
    </w:p>
    <w:p w14:paraId="61863E5F" w14:textId="77777777" w:rsidR="00492004" w:rsidRPr="009D673B" w:rsidRDefault="00492004" w:rsidP="00492004">
      <w:pPr>
        <w:spacing w:after="0" w:line="240" w:lineRule="auto"/>
        <w:contextualSpacing/>
        <w:jc w:val="both"/>
        <w:rPr>
          <w:rFonts w:ascii="Arial" w:hAnsi="Arial" w:cs="Arial"/>
          <w:sz w:val="18"/>
          <w:szCs w:val="18"/>
        </w:rPr>
      </w:pPr>
      <w:r w:rsidRPr="009D673B">
        <w:rPr>
          <w:rFonts w:ascii="Arial" w:hAnsi="Arial" w:cs="Arial"/>
          <w:sz w:val="18"/>
          <w:szCs w:val="18"/>
        </w:rPr>
        <w:t>W trybie art. 5 ustawy z dnia 7 lipca 2005 r. o działalności lobbingowej w procesie stanowienia prawa (Dz. U. z 2017 r. poz. 248) żaden z podmiotów nie zgłosił zainteresowania pracami nad projektem rozporządzenia</w:t>
      </w:r>
    </w:p>
    <w:p w14:paraId="7613B30D" w14:textId="77777777" w:rsidR="00492004" w:rsidRPr="009D673B" w:rsidRDefault="00492004" w:rsidP="00492004">
      <w:pPr>
        <w:spacing w:after="0" w:line="240" w:lineRule="auto"/>
        <w:contextualSpacing/>
        <w:jc w:val="both"/>
        <w:rPr>
          <w:rFonts w:ascii="Arial" w:hAnsi="Arial" w:cs="Arial"/>
          <w:b/>
          <w:sz w:val="18"/>
          <w:szCs w:val="18"/>
        </w:rPr>
      </w:pPr>
    </w:p>
    <w:p w14:paraId="688C1BE5" w14:textId="2A7DE0D2" w:rsidR="00CE3E6F" w:rsidRDefault="00492004" w:rsidP="00492004">
      <w:pPr>
        <w:spacing w:after="0" w:line="240" w:lineRule="auto"/>
        <w:jc w:val="both"/>
        <w:rPr>
          <w:rFonts w:ascii="Arial" w:hAnsi="Arial" w:cs="Arial"/>
          <w:sz w:val="18"/>
          <w:szCs w:val="18"/>
        </w:rPr>
      </w:pPr>
      <w:r w:rsidRPr="009D673B">
        <w:rPr>
          <w:rFonts w:ascii="Arial" w:hAnsi="Arial" w:cs="Arial"/>
          <w:sz w:val="18"/>
          <w:szCs w:val="18"/>
        </w:rPr>
        <w:t xml:space="preserve">Równolegle z uzgodnieniami z członkami Rady Ministrów, projekt został przesłany do opiniowania i konsultacji publicznych do: </w:t>
      </w:r>
      <w:r w:rsidR="00CE3E6F" w:rsidRPr="00F77485">
        <w:rPr>
          <w:rFonts w:ascii="Arial" w:hAnsi="Arial" w:cs="Arial"/>
          <w:sz w:val="18"/>
          <w:szCs w:val="18"/>
        </w:rPr>
        <w:t>Prezesa Narodowego Funduszu Zdrowia</w:t>
      </w:r>
      <w:r w:rsidR="00CE3E6F">
        <w:rPr>
          <w:rFonts w:ascii="Arial" w:hAnsi="Arial" w:cs="Arial"/>
          <w:sz w:val="18"/>
          <w:szCs w:val="18"/>
        </w:rPr>
        <w:t>,</w:t>
      </w:r>
      <w:r w:rsidR="00CE3E6F" w:rsidRPr="00F77485">
        <w:rPr>
          <w:rFonts w:ascii="Arial" w:hAnsi="Arial" w:cs="Arial"/>
          <w:sz w:val="18"/>
          <w:szCs w:val="18"/>
        </w:rPr>
        <w:t xml:space="preserve"> Głównego Inspektora Sanitarnego,</w:t>
      </w:r>
      <w:r w:rsidR="00CE3E6F">
        <w:rPr>
          <w:rFonts w:ascii="Arial" w:hAnsi="Arial" w:cs="Arial"/>
          <w:sz w:val="18"/>
          <w:szCs w:val="18"/>
        </w:rPr>
        <w:t xml:space="preserve"> </w:t>
      </w:r>
      <w:r w:rsidR="00CE3E6F" w:rsidRPr="00CE3E6F">
        <w:rPr>
          <w:rFonts w:ascii="Arial" w:hAnsi="Arial" w:cs="Arial"/>
          <w:sz w:val="18"/>
          <w:szCs w:val="18"/>
        </w:rPr>
        <w:t>Głównego Inspektora Farmaceutycznego;</w:t>
      </w:r>
      <w:r w:rsidR="00CE3E6F">
        <w:rPr>
          <w:rFonts w:ascii="Arial" w:hAnsi="Arial" w:cs="Arial"/>
          <w:sz w:val="18"/>
          <w:szCs w:val="18"/>
        </w:rPr>
        <w:t xml:space="preserve"> </w:t>
      </w:r>
      <w:r w:rsidR="00CE3E6F" w:rsidRPr="00CE3E6F">
        <w:rPr>
          <w:rFonts w:ascii="Arial" w:hAnsi="Arial" w:cs="Arial"/>
          <w:sz w:val="18"/>
          <w:szCs w:val="18"/>
        </w:rPr>
        <w:t>Krajowej Rady Transplantacyjnej;</w:t>
      </w:r>
      <w:r w:rsidR="00CE3E6F">
        <w:rPr>
          <w:rFonts w:ascii="Arial" w:hAnsi="Arial" w:cs="Arial"/>
          <w:sz w:val="18"/>
          <w:szCs w:val="18"/>
        </w:rPr>
        <w:t xml:space="preserve"> </w:t>
      </w:r>
      <w:r w:rsidR="00CE3E6F" w:rsidRPr="00CE3E6F">
        <w:rPr>
          <w:rFonts w:ascii="Arial" w:hAnsi="Arial" w:cs="Arial"/>
          <w:sz w:val="18"/>
          <w:szCs w:val="18"/>
        </w:rPr>
        <w:t>Centrum Organizacyjno-Koordynacyjnego ds. Transplantacji „Poltransplant”;</w:t>
      </w:r>
      <w:r w:rsidR="00CE3E6F">
        <w:rPr>
          <w:rFonts w:ascii="Arial" w:hAnsi="Arial" w:cs="Arial"/>
          <w:sz w:val="18"/>
          <w:szCs w:val="18"/>
        </w:rPr>
        <w:t xml:space="preserve"> </w:t>
      </w:r>
      <w:r w:rsidR="00CE3E6F" w:rsidRPr="00CE3E6F">
        <w:rPr>
          <w:rFonts w:ascii="Arial" w:hAnsi="Arial" w:cs="Arial"/>
          <w:sz w:val="18"/>
          <w:szCs w:val="18"/>
        </w:rPr>
        <w:t>Instytutu Praw Pacjenta i Edukacji Zdrowotne</w:t>
      </w:r>
      <w:r w:rsidR="00CE3E6F">
        <w:rPr>
          <w:rFonts w:ascii="Arial" w:hAnsi="Arial" w:cs="Arial"/>
          <w:sz w:val="18"/>
          <w:szCs w:val="18"/>
        </w:rPr>
        <w:t xml:space="preserve">j; </w:t>
      </w:r>
      <w:r w:rsidR="00CE3E6F" w:rsidRPr="00CE3E6F">
        <w:rPr>
          <w:rFonts w:ascii="Arial" w:hAnsi="Arial" w:cs="Arial"/>
          <w:sz w:val="18"/>
          <w:szCs w:val="18"/>
        </w:rPr>
        <w:t>Instytutu Hematologii i Transfuzjologii; Regionalnego Centrum Krwiodawstwa i Krwiolecznictwa w Białymstoku;</w:t>
      </w:r>
      <w:r w:rsidR="00CE3E6F">
        <w:rPr>
          <w:rFonts w:ascii="Arial" w:hAnsi="Arial" w:cs="Arial"/>
          <w:sz w:val="18"/>
          <w:szCs w:val="18"/>
        </w:rPr>
        <w:t xml:space="preserve"> </w:t>
      </w:r>
      <w:r w:rsidR="00CE3E6F" w:rsidRPr="00CE3E6F">
        <w:rPr>
          <w:rFonts w:ascii="Arial" w:hAnsi="Arial" w:cs="Arial"/>
          <w:sz w:val="18"/>
          <w:szCs w:val="18"/>
        </w:rPr>
        <w:t>Regionalnego Centrum Krwiodawstwa i Krwiolecznictwa w Bydgoszczy;</w:t>
      </w:r>
      <w:r w:rsidR="00CE3E6F">
        <w:rPr>
          <w:rFonts w:ascii="Arial" w:hAnsi="Arial" w:cs="Arial"/>
          <w:sz w:val="18"/>
          <w:szCs w:val="18"/>
        </w:rPr>
        <w:t xml:space="preserve"> </w:t>
      </w:r>
      <w:r w:rsidR="00CE3E6F" w:rsidRPr="00CE3E6F">
        <w:rPr>
          <w:rFonts w:ascii="Arial" w:hAnsi="Arial" w:cs="Arial"/>
          <w:sz w:val="18"/>
          <w:szCs w:val="18"/>
        </w:rPr>
        <w:t>Regionalnego Centrum Krwiodawstwa i Krwiolecznictwa w Gdańsku;</w:t>
      </w:r>
      <w:r w:rsidR="00CE3E6F">
        <w:rPr>
          <w:rFonts w:ascii="Arial" w:hAnsi="Arial" w:cs="Arial"/>
          <w:sz w:val="18"/>
          <w:szCs w:val="18"/>
        </w:rPr>
        <w:t xml:space="preserve"> </w:t>
      </w:r>
      <w:r w:rsidR="00CE3E6F" w:rsidRPr="00CE3E6F">
        <w:rPr>
          <w:rFonts w:ascii="Arial" w:hAnsi="Arial" w:cs="Arial"/>
          <w:sz w:val="18"/>
          <w:szCs w:val="18"/>
        </w:rPr>
        <w:t>Regionalnego Centrum Krwiodawstwa i Krwiolecznictwa w Kaliszu;</w:t>
      </w:r>
      <w:r w:rsidR="00CE3E6F">
        <w:rPr>
          <w:rFonts w:ascii="Arial" w:hAnsi="Arial" w:cs="Arial"/>
          <w:sz w:val="18"/>
          <w:szCs w:val="18"/>
        </w:rPr>
        <w:t xml:space="preserve"> </w:t>
      </w:r>
      <w:r w:rsidR="00CE3E6F" w:rsidRPr="00CE3E6F">
        <w:rPr>
          <w:rFonts w:ascii="Arial" w:hAnsi="Arial" w:cs="Arial"/>
          <w:sz w:val="18"/>
          <w:szCs w:val="18"/>
        </w:rPr>
        <w:t>Regionalnego Centrum Krwiodawstwa i Krwiolecznictwa w Katowicach;</w:t>
      </w:r>
      <w:r w:rsidR="00CE3E6F">
        <w:rPr>
          <w:rFonts w:ascii="Arial" w:hAnsi="Arial" w:cs="Arial"/>
          <w:sz w:val="18"/>
          <w:szCs w:val="18"/>
        </w:rPr>
        <w:t xml:space="preserve"> </w:t>
      </w:r>
      <w:r w:rsidR="00CE3E6F" w:rsidRPr="00CE3E6F">
        <w:rPr>
          <w:rFonts w:ascii="Arial" w:hAnsi="Arial" w:cs="Arial"/>
          <w:sz w:val="18"/>
          <w:szCs w:val="18"/>
        </w:rPr>
        <w:t>Regionalnego Centrum Krwiodawstwa i Krwiolecznictwa w Kielcach;</w:t>
      </w:r>
      <w:r w:rsidR="00CE3E6F">
        <w:rPr>
          <w:rFonts w:ascii="Arial" w:hAnsi="Arial" w:cs="Arial"/>
          <w:sz w:val="18"/>
          <w:szCs w:val="18"/>
        </w:rPr>
        <w:t xml:space="preserve"> </w:t>
      </w:r>
      <w:r w:rsidR="00CE3E6F" w:rsidRPr="00CE3E6F">
        <w:rPr>
          <w:rFonts w:ascii="Arial" w:hAnsi="Arial" w:cs="Arial"/>
          <w:sz w:val="18"/>
          <w:szCs w:val="18"/>
        </w:rPr>
        <w:t>Regionalnego Centrum Krwiodawstwa i Krwiolecznictwa w Krakowie;</w:t>
      </w:r>
      <w:r w:rsidR="00CE3E6F">
        <w:rPr>
          <w:rFonts w:ascii="Arial" w:hAnsi="Arial" w:cs="Arial"/>
          <w:sz w:val="18"/>
          <w:szCs w:val="18"/>
        </w:rPr>
        <w:t xml:space="preserve"> </w:t>
      </w:r>
      <w:r w:rsidR="00CE3E6F" w:rsidRPr="00CE3E6F">
        <w:rPr>
          <w:rFonts w:ascii="Arial" w:hAnsi="Arial" w:cs="Arial"/>
          <w:sz w:val="18"/>
          <w:szCs w:val="18"/>
        </w:rPr>
        <w:t>Regionalnego Centrum Krwiodawstwa i Krwiolecznictwa w Lublinie;</w:t>
      </w:r>
      <w:r w:rsidR="00CE3E6F">
        <w:rPr>
          <w:rFonts w:ascii="Arial" w:hAnsi="Arial" w:cs="Arial"/>
          <w:sz w:val="18"/>
          <w:szCs w:val="18"/>
        </w:rPr>
        <w:t xml:space="preserve"> </w:t>
      </w:r>
      <w:r w:rsidR="00CE3E6F" w:rsidRPr="00CE3E6F">
        <w:rPr>
          <w:rFonts w:ascii="Arial" w:hAnsi="Arial" w:cs="Arial"/>
          <w:sz w:val="18"/>
          <w:szCs w:val="18"/>
        </w:rPr>
        <w:t>Regionalnego Centrum Krwiodawstwa i Krwiolecznictwa w Łodzi;</w:t>
      </w:r>
      <w:r w:rsidR="00CE3E6F">
        <w:rPr>
          <w:rFonts w:ascii="Arial" w:hAnsi="Arial" w:cs="Arial"/>
          <w:sz w:val="18"/>
          <w:szCs w:val="18"/>
        </w:rPr>
        <w:t xml:space="preserve"> </w:t>
      </w:r>
      <w:r w:rsidR="00CE3E6F" w:rsidRPr="00CE3E6F">
        <w:rPr>
          <w:rFonts w:ascii="Arial" w:hAnsi="Arial" w:cs="Arial"/>
          <w:sz w:val="18"/>
          <w:szCs w:val="18"/>
        </w:rPr>
        <w:t>Regionalnego Centrum Krwiodawstwa i Krwiolecznictwa w Olsztynie;</w:t>
      </w:r>
      <w:r w:rsidR="00CE3E6F">
        <w:rPr>
          <w:rFonts w:ascii="Arial" w:hAnsi="Arial" w:cs="Arial"/>
          <w:sz w:val="18"/>
          <w:szCs w:val="18"/>
        </w:rPr>
        <w:t xml:space="preserve"> </w:t>
      </w:r>
      <w:r w:rsidR="00CE3E6F" w:rsidRPr="00CE3E6F">
        <w:rPr>
          <w:rFonts w:ascii="Arial" w:hAnsi="Arial" w:cs="Arial"/>
          <w:sz w:val="18"/>
          <w:szCs w:val="18"/>
        </w:rPr>
        <w:t>Regionalnego Centrum Krwiodawstwa i Krwiolecznictwa w Opolu;</w:t>
      </w:r>
      <w:r w:rsidR="00CE3E6F">
        <w:rPr>
          <w:rFonts w:ascii="Arial" w:hAnsi="Arial" w:cs="Arial"/>
          <w:sz w:val="18"/>
          <w:szCs w:val="18"/>
        </w:rPr>
        <w:t xml:space="preserve"> </w:t>
      </w:r>
      <w:r w:rsidR="00CE3E6F" w:rsidRPr="00CE3E6F">
        <w:rPr>
          <w:rFonts w:ascii="Arial" w:hAnsi="Arial" w:cs="Arial"/>
          <w:sz w:val="18"/>
          <w:szCs w:val="18"/>
        </w:rPr>
        <w:t>Regionalnego Centrum Krwiodawstwa i Krwiolecznictwa w Poznaniu;</w:t>
      </w:r>
      <w:r w:rsidR="00CE3E6F">
        <w:rPr>
          <w:rFonts w:ascii="Arial" w:hAnsi="Arial" w:cs="Arial"/>
          <w:sz w:val="18"/>
          <w:szCs w:val="18"/>
        </w:rPr>
        <w:t xml:space="preserve"> </w:t>
      </w:r>
      <w:r w:rsidR="00CE3E6F" w:rsidRPr="00CE3E6F">
        <w:rPr>
          <w:rFonts w:ascii="Arial" w:hAnsi="Arial" w:cs="Arial"/>
          <w:sz w:val="18"/>
          <w:szCs w:val="18"/>
        </w:rPr>
        <w:t>Regionalnego Centrum Krwiodawstwa i Krwiolecznictwa w Raciborzu;</w:t>
      </w:r>
      <w:r w:rsidR="00CE3E6F">
        <w:rPr>
          <w:rFonts w:ascii="Arial" w:hAnsi="Arial" w:cs="Arial"/>
          <w:sz w:val="18"/>
          <w:szCs w:val="18"/>
        </w:rPr>
        <w:t xml:space="preserve"> </w:t>
      </w:r>
      <w:r w:rsidR="00CE3E6F" w:rsidRPr="00CE3E6F">
        <w:rPr>
          <w:rFonts w:ascii="Arial" w:hAnsi="Arial" w:cs="Arial"/>
          <w:sz w:val="18"/>
          <w:szCs w:val="18"/>
        </w:rPr>
        <w:t xml:space="preserve">Regionalnego Centrum Krwiodawstwa i Krwiolecznictwa im. dr Konrada </w:t>
      </w:r>
      <w:proofErr w:type="spellStart"/>
      <w:r w:rsidR="00CE3E6F" w:rsidRPr="00CE3E6F">
        <w:rPr>
          <w:rFonts w:ascii="Arial" w:hAnsi="Arial" w:cs="Arial"/>
          <w:sz w:val="18"/>
          <w:szCs w:val="18"/>
        </w:rPr>
        <w:t>Vietha</w:t>
      </w:r>
      <w:proofErr w:type="spellEnd"/>
      <w:r w:rsidR="00CE3E6F" w:rsidRPr="00CE3E6F">
        <w:rPr>
          <w:rFonts w:ascii="Arial" w:hAnsi="Arial" w:cs="Arial"/>
          <w:sz w:val="18"/>
          <w:szCs w:val="18"/>
        </w:rPr>
        <w:t xml:space="preserve"> w Radomiu;</w:t>
      </w:r>
      <w:r w:rsidR="00CE3E6F">
        <w:rPr>
          <w:rFonts w:ascii="Arial" w:hAnsi="Arial" w:cs="Arial"/>
          <w:sz w:val="18"/>
          <w:szCs w:val="18"/>
        </w:rPr>
        <w:t xml:space="preserve"> </w:t>
      </w:r>
      <w:r w:rsidR="00CE3E6F" w:rsidRPr="00CE3E6F">
        <w:rPr>
          <w:rFonts w:ascii="Arial" w:hAnsi="Arial" w:cs="Arial"/>
          <w:sz w:val="18"/>
          <w:szCs w:val="18"/>
        </w:rPr>
        <w:t>Regionalnego Centrum Krwiodawstwa i Krwiolecznictwa w Rzeszowie;</w:t>
      </w:r>
      <w:r w:rsidR="00CE3E6F">
        <w:rPr>
          <w:rFonts w:ascii="Arial" w:hAnsi="Arial" w:cs="Arial"/>
          <w:sz w:val="18"/>
          <w:szCs w:val="18"/>
        </w:rPr>
        <w:t xml:space="preserve"> </w:t>
      </w:r>
      <w:r w:rsidR="00CE3E6F" w:rsidRPr="00CE3E6F">
        <w:rPr>
          <w:rFonts w:ascii="Arial" w:hAnsi="Arial" w:cs="Arial"/>
          <w:sz w:val="18"/>
          <w:szCs w:val="18"/>
        </w:rPr>
        <w:t>Regionalnego Centrum Krwiodawstwa i Krwiolecznictwa im. Jana Pawła II w Słupsku;</w:t>
      </w:r>
      <w:r w:rsidR="00CE3E6F">
        <w:rPr>
          <w:rFonts w:ascii="Arial" w:hAnsi="Arial" w:cs="Arial"/>
          <w:sz w:val="18"/>
          <w:szCs w:val="18"/>
        </w:rPr>
        <w:t xml:space="preserve"> </w:t>
      </w:r>
      <w:r w:rsidR="00CE3E6F" w:rsidRPr="00CE3E6F">
        <w:rPr>
          <w:rFonts w:ascii="Arial" w:hAnsi="Arial" w:cs="Arial"/>
          <w:sz w:val="18"/>
          <w:szCs w:val="18"/>
        </w:rPr>
        <w:t>Regionalnego Centrum Krwiodawstwa i Krwiolecznictwa w Szczecinie;</w:t>
      </w:r>
      <w:r w:rsidR="00CE3E6F">
        <w:rPr>
          <w:rFonts w:ascii="Arial" w:hAnsi="Arial" w:cs="Arial"/>
          <w:sz w:val="18"/>
          <w:szCs w:val="18"/>
        </w:rPr>
        <w:t xml:space="preserve"> </w:t>
      </w:r>
      <w:r w:rsidR="00CE3E6F" w:rsidRPr="00CE3E6F">
        <w:rPr>
          <w:rFonts w:ascii="Arial" w:hAnsi="Arial" w:cs="Arial"/>
          <w:sz w:val="18"/>
          <w:szCs w:val="18"/>
        </w:rPr>
        <w:t>Regionalnego Centrum Krwiodawstwa i Krwiolecznictwa w Wałbrzychu;</w:t>
      </w:r>
      <w:r w:rsidR="00CE3E6F">
        <w:rPr>
          <w:rFonts w:ascii="Arial" w:hAnsi="Arial" w:cs="Arial"/>
          <w:sz w:val="18"/>
          <w:szCs w:val="18"/>
        </w:rPr>
        <w:t xml:space="preserve"> </w:t>
      </w:r>
      <w:r w:rsidR="00CE3E6F" w:rsidRPr="00CE3E6F">
        <w:rPr>
          <w:rFonts w:ascii="Arial" w:hAnsi="Arial" w:cs="Arial"/>
          <w:sz w:val="18"/>
          <w:szCs w:val="18"/>
        </w:rPr>
        <w:t>Regionalnego Centrum Krwiodawstwa i Krwiolecznictwa w Warszawie;</w:t>
      </w:r>
      <w:r w:rsidR="00CE3E6F">
        <w:rPr>
          <w:rFonts w:ascii="Arial" w:hAnsi="Arial" w:cs="Arial"/>
          <w:sz w:val="18"/>
          <w:szCs w:val="18"/>
        </w:rPr>
        <w:t xml:space="preserve"> </w:t>
      </w:r>
      <w:r w:rsidR="00CE3E6F" w:rsidRPr="00CE3E6F">
        <w:rPr>
          <w:rFonts w:ascii="Arial" w:hAnsi="Arial" w:cs="Arial"/>
          <w:sz w:val="18"/>
          <w:szCs w:val="18"/>
        </w:rPr>
        <w:t xml:space="preserve">Regionalnego Centrum Krwiodawstwa i Krwiolecznictwa im. prof. dr hab. Tadeusza </w:t>
      </w:r>
      <w:proofErr w:type="spellStart"/>
      <w:r w:rsidR="00CE3E6F" w:rsidRPr="00CE3E6F">
        <w:rPr>
          <w:rFonts w:ascii="Arial" w:hAnsi="Arial" w:cs="Arial"/>
          <w:sz w:val="18"/>
          <w:szCs w:val="18"/>
        </w:rPr>
        <w:t>Dorobisza</w:t>
      </w:r>
      <w:proofErr w:type="spellEnd"/>
      <w:r w:rsidR="00CE3E6F" w:rsidRPr="00CE3E6F">
        <w:rPr>
          <w:rFonts w:ascii="Arial" w:hAnsi="Arial" w:cs="Arial"/>
          <w:sz w:val="18"/>
          <w:szCs w:val="18"/>
        </w:rPr>
        <w:t xml:space="preserve"> we Wrocławiu;</w:t>
      </w:r>
      <w:r w:rsidR="00CE3E6F">
        <w:rPr>
          <w:rFonts w:ascii="Arial" w:hAnsi="Arial" w:cs="Arial"/>
          <w:sz w:val="18"/>
          <w:szCs w:val="18"/>
        </w:rPr>
        <w:t xml:space="preserve"> </w:t>
      </w:r>
      <w:r w:rsidR="00CE3E6F" w:rsidRPr="00CE3E6F">
        <w:rPr>
          <w:rFonts w:ascii="Arial" w:hAnsi="Arial" w:cs="Arial"/>
          <w:sz w:val="18"/>
          <w:szCs w:val="18"/>
        </w:rPr>
        <w:t>Regionalnego Centrum Krwiodawstwa i Krwiolecznictwa w Zielonej Górze;</w:t>
      </w:r>
      <w:r w:rsidR="00DF44FD">
        <w:rPr>
          <w:rFonts w:ascii="Arial" w:hAnsi="Arial" w:cs="Arial"/>
          <w:sz w:val="18"/>
          <w:szCs w:val="18"/>
        </w:rPr>
        <w:t xml:space="preserve"> </w:t>
      </w:r>
      <w:r w:rsidR="00CE3E6F" w:rsidRPr="00CE3E6F">
        <w:rPr>
          <w:rFonts w:ascii="Arial" w:hAnsi="Arial" w:cs="Arial"/>
          <w:sz w:val="18"/>
          <w:szCs w:val="18"/>
        </w:rPr>
        <w:t>Wojskowego Centrum Krwiodawstwa i Krwiolecznictwa;</w:t>
      </w:r>
      <w:r w:rsidR="00DF44FD">
        <w:rPr>
          <w:rFonts w:ascii="Arial" w:hAnsi="Arial" w:cs="Arial"/>
          <w:sz w:val="18"/>
          <w:szCs w:val="18"/>
        </w:rPr>
        <w:t xml:space="preserve"> </w:t>
      </w:r>
      <w:r w:rsidR="00CE3E6F" w:rsidRPr="00CE3E6F">
        <w:rPr>
          <w:rFonts w:ascii="Arial" w:hAnsi="Arial" w:cs="Arial"/>
          <w:sz w:val="18"/>
          <w:szCs w:val="18"/>
        </w:rPr>
        <w:t>Centrum Krwiodawstwa i Krwiolecznictwa MSWiA;</w:t>
      </w:r>
      <w:r w:rsidR="00DF44FD">
        <w:rPr>
          <w:rFonts w:ascii="Arial" w:hAnsi="Arial" w:cs="Arial"/>
          <w:sz w:val="18"/>
          <w:szCs w:val="18"/>
        </w:rPr>
        <w:t xml:space="preserve"> </w:t>
      </w:r>
      <w:r w:rsidR="00CE3E6F" w:rsidRPr="00CE3E6F">
        <w:rPr>
          <w:rFonts w:ascii="Arial" w:hAnsi="Arial" w:cs="Arial"/>
          <w:sz w:val="18"/>
          <w:szCs w:val="18"/>
        </w:rPr>
        <w:t>Krajowej Rady do Spraw Krwiodawstwa i Krwiolecznictwa;</w:t>
      </w:r>
      <w:r w:rsidR="00CE3E6F">
        <w:rPr>
          <w:rFonts w:ascii="Arial" w:hAnsi="Arial" w:cs="Arial"/>
          <w:sz w:val="18"/>
          <w:szCs w:val="18"/>
        </w:rPr>
        <w:t xml:space="preserve"> </w:t>
      </w:r>
      <w:r w:rsidR="00CE3E6F" w:rsidRPr="00CE3E6F">
        <w:rPr>
          <w:rFonts w:ascii="Arial" w:hAnsi="Arial" w:cs="Arial"/>
          <w:sz w:val="18"/>
          <w:szCs w:val="18"/>
        </w:rPr>
        <w:t>Rzecznika Praw Pacjenta;</w:t>
      </w:r>
      <w:r w:rsidR="001801FB">
        <w:rPr>
          <w:rFonts w:ascii="Arial" w:hAnsi="Arial" w:cs="Arial"/>
          <w:sz w:val="18"/>
          <w:szCs w:val="18"/>
        </w:rPr>
        <w:t xml:space="preserve">  </w:t>
      </w:r>
      <w:r w:rsidR="00CE3E6F" w:rsidRPr="00CE3E6F">
        <w:rPr>
          <w:rFonts w:ascii="Arial" w:hAnsi="Arial" w:cs="Arial"/>
          <w:sz w:val="18"/>
          <w:szCs w:val="18"/>
        </w:rPr>
        <w:t>Zarządu Głównego Polskiego Czerwonego Krzyża</w:t>
      </w:r>
      <w:r w:rsidR="001801FB">
        <w:rPr>
          <w:rFonts w:ascii="Arial" w:hAnsi="Arial" w:cs="Arial"/>
          <w:sz w:val="18"/>
          <w:szCs w:val="18"/>
        </w:rPr>
        <w:t>.</w:t>
      </w:r>
    </w:p>
    <w:p w14:paraId="28A4FE02" w14:textId="77777777" w:rsidR="00CE3E6F" w:rsidRDefault="00CE3E6F" w:rsidP="00492004">
      <w:pPr>
        <w:spacing w:after="0" w:line="240" w:lineRule="auto"/>
        <w:jc w:val="both"/>
        <w:rPr>
          <w:rFonts w:ascii="Arial" w:hAnsi="Arial" w:cs="Arial"/>
          <w:sz w:val="18"/>
          <w:szCs w:val="18"/>
        </w:rPr>
      </w:pPr>
    </w:p>
    <w:p w14:paraId="6CC8F32E" w14:textId="62170844" w:rsidR="00492004" w:rsidRPr="00F77485" w:rsidRDefault="00492004" w:rsidP="00492004">
      <w:pPr>
        <w:spacing w:after="0" w:line="240" w:lineRule="auto"/>
        <w:jc w:val="both"/>
        <w:rPr>
          <w:rFonts w:ascii="Arial" w:hAnsi="Arial" w:cs="Arial"/>
          <w:sz w:val="18"/>
          <w:szCs w:val="18"/>
        </w:rPr>
      </w:pPr>
      <w:r w:rsidRPr="00F77485">
        <w:rPr>
          <w:rFonts w:ascii="Arial" w:hAnsi="Arial" w:cs="Arial"/>
          <w:sz w:val="18"/>
          <w:szCs w:val="18"/>
        </w:rPr>
        <w:t>Prezesa Urzędu Ochrony Konkurencji i Konsumentów,</w:t>
      </w:r>
      <w:r w:rsidR="008D25DD" w:rsidRPr="00F77485">
        <w:rPr>
          <w:rFonts w:ascii="Arial" w:hAnsi="Arial" w:cs="Arial"/>
          <w:sz w:val="18"/>
          <w:szCs w:val="18"/>
        </w:rPr>
        <w:t xml:space="preserve"> Prezesa Urzędu Ochrony Danych Osobowych, </w:t>
      </w:r>
      <w:r w:rsidR="00392F0E" w:rsidRPr="00F77485">
        <w:rPr>
          <w:rFonts w:ascii="Arial" w:hAnsi="Arial" w:cs="Arial"/>
          <w:sz w:val="18"/>
          <w:szCs w:val="18"/>
        </w:rPr>
        <w:t>Prokuratorii Generalnej Rzeczypospolitej Polskiej,</w:t>
      </w:r>
      <w:r w:rsidRPr="00F77485">
        <w:rPr>
          <w:rFonts w:ascii="Arial" w:hAnsi="Arial" w:cs="Arial"/>
          <w:sz w:val="18"/>
          <w:szCs w:val="18"/>
        </w:rPr>
        <w:t xml:space="preserve"> , </w:t>
      </w:r>
      <w:r w:rsidR="000D252D">
        <w:rPr>
          <w:rFonts w:ascii="Arial" w:hAnsi="Arial" w:cs="Arial"/>
          <w:sz w:val="18"/>
          <w:szCs w:val="18"/>
        </w:rPr>
        <w:t xml:space="preserve">Krajowej Rady Transplantacyjnej, </w:t>
      </w:r>
      <w:r w:rsidRPr="00F77485">
        <w:rPr>
          <w:rFonts w:ascii="Arial" w:hAnsi="Arial" w:cs="Arial"/>
          <w:sz w:val="18"/>
          <w:szCs w:val="18"/>
        </w:rPr>
        <w:t>Rzecznika Praw Pacjenta</w:t>
      </w:r>
      <w:r w:rsidR="00F77485" w:rsidRPr="00F77485">
        <w:rPr>
          <w:rFonts w:ascii="Arial" w:hAnsi="Arial" w:cs="Arial"/>
          <w:sz w:val="18"/>
          <w:szCs w:val="18"/>
        </w:rPr>
        <w:t xml:space="preserve">, </w:t>
      </w:r>
      <w:r w:rsidR="00836621">
        <w:rPr>
          <w:rFonts w:ascii="Arial" w:hAnsi="Arial" w:cs="Arial"/>
          <w:sz w:val="18"/>
          <w:szCs w:val="18"/>
        </w:rPr>
        <w:t>Rzecznika Praw Obywatelskich</w:t>
      </w:r>
      <w:r w:rsidR="000D252D">
        <w:rPr>
          <w:rFonts w:ascii="Arial" w:hAnsi="Arial" w:cs="Arial"/>
          <w:sz w:val="18"/>
          <w:szCs w:val="18"/>
        </w:rPr>
        <w:t xml:space="preserve">, </w:t>
      </w:r>
      <w:r w:rsidR="000D252D" w:rsidRPr="000D252D">
        <w:rPr>
          <w:rFonts w:ascii="Arial" w:hAnsi="Arial" w:cs="Arial"/>
          <w:sz w:val="18"/>
          <w:szCs w:val="18"/>
        </w:rPr>
        <w:t>Centrum Organizacyjno-Koordynacyjne</w:t>
      </w:r>
      <w:r w:rsidR="000D252D">
        <w:rPr>
          <w:rFonts w:ascii="Arial" w:hAnsi="Arial" w:cs="Arial"/>
          <w:sz w:val="18"/>
          <w:szCs w:val="18"/>
        </w:rPr>
        <w:t>go</w:t>
      </w:r>
      <w:r w:rsidR="000D252D" w:rsidRPr="000D252D">
        <w:rPr>
          <w:rFonts w:ascii="Arial" w:hAnsi="Arial" w:cs="Arial"/>
          <w:sz w:val="18"/>
          <w:szCs w:val="18"/>
        </w:rPr>
        <w:t xml:space="preserve"> ds. Transplantacji „Poltransplant”</w:t>
      </w:r>
      <w:r w:rsidR="000D252D">
        <w:rPr>
          <w:rFonts w:ascii="Arial" w:hAnsi="Arial" w:cs="Arial"/>
          <w:sz w:val="18"/>
          <w:szCs w:val="18"/>
        </w:rPr>
        <w:t>,</w:t>
      </w:r>
    </w:p>
    <w:p w14:paraId="7426167B" w14:textId="77777777" w:rsidR="00492004" w:rsidRPr="00F77485" w:rsidRDefault="00492004" w:rsidP="00492004">
      <w:pPr>
        <w:spacing w:after="0" w:line="240" w:lineRule="auto"/>
        <w:contextualSpacing/>
        <w:jc w:val="both"/>
        <w:rPr>
          <w:rFonts w:ascii="Arial" w:hAnsi="Arial" w:cs="Arial"/>
          <w:sz w:val="18"/>
          <w:szCs w:val="18"/>
        </w:rPr>
      </w:pPr>
    </w:p>
    <w:p w14:paraId="743966BD" w14:textId="77777777" w:rsidR="00492004" w:rsidRPr="00F77485" w:rsidRDefault="00492004" w:rsidP="00492004">
      <w:pPr>
        <w:spacing w:after="0" w:line="240" w:lineRule="auto"/>
        <w:contextualSpacing/>
        <w:jc w:val="both"/>
        <w:rPr>
          <w:rFonts w:ascii="Arial" w:hAnsi="Arial" w:cs="Arial"/>
          <w:sz w:val="18"/>
          <w:szCs w:val="18"/>
        </w:rPr>
      </w:pPr>
      <w:r w:rsidRPr="00F77485">
        <w:rPr>
          <w:rFonts w:ascii="Arial" w:hAnsi="Arial" w:cs="Arial"/>
          <w:sz w:val="18"/>
          <w:szCs w:val="18"/>
        </w:rPr>
        <w:t>Ponadto przedmiotowy projekt przesłany był do:</w:t>
      </w:r>
    </w:p>
    <w:p w14:paraId="59275CD1" w14:textId="1B2A1FB9" w:rsidR="00492004" w:rsidRPr="00F77485" w:rsidRDefault="00492004" w:rsidP="00492004">
      <w:pPr>
        <w:pStyle w:val="Akapitzlist"/>
        <w:numPr>
          <w:ilvl w:val="0"/>
          <w:numId w:val="20"/>
        </w:numPr>
        <w:spacing w:after="0" w:line="240" w:lineRule="auto"/>
        <w:jc w:val="both"/>
        <w:rPr>
          <w:rFonts w:ascii="Arial" w:hAnsi="Arial" w:cs="Arial"/>
          <w:sz w:val="18"/>
          <w:szCs w:val="18"/>
        </w:rPr>
      </w:pPr>
      <w:r w:rsidRPr="00F77485">
        <w:rPr>
          <w:rFonts w:ascii="Arial" w:hAnsi="Arial" w:cs="Arial"/>
          <w:sz w:val="18"/>
          <w:szCs w:val="18"/>
        </w:rPr>
        <w:t xml:space="preserve">samorządów zawodowych: </w:t>
      </w:r>
      <w:r w:rsidR="00CE3E6F" w:rsidRPr="00CE3E6F">
        <w:rPr>
          <w:rFonts w:ascii="Arial" w:hAnsi="Arial" w:cs="Arial"/>
          <w:sz w:val="18"/>
          <w:szCs w:val="18"/>
        </w:rPr>
        <w:t>Naczelnej Rady Lekarskiej; Naczelnej Rady Pielęgniarek i Położnych; Naczelnej Rady Aptekarskiej; Związku Pracodawców Ratownictwa Medycznego SP-ZOZ;</w:t>
      </w:r>
      <w:r w:rsidR="001801FB">
        <w:rPr>
          <w:rFonts w:ascii="Arial" w:hAnsi="Arial" w:cs="Arial"/>
          <w:sz w:val="18"/>
          <w:szCs w:val="18"/>
        </w:rPr>
        <w:t xml:space="preserve"> </w:t>
      </w:r>
      <w:r w:rsidR="001801FB" w:rsidRPr="001801FB">
        <w:rPr>
          <w:rFonts w:ascii="Arial" w:hAnsi="Arial" w:cs="Arial"/>
          <w:sz w:val="18"/>
          <w:szCs w:val="18"/>
        </w:rPr>
        <w:t>Polskiego Towarzystwa Koderów Medycznych;</w:t>
      </w:r>
    </w:p>
    <w:p w14:paraId="56209704" w14:textId="6B14A2AA" w:rsidR="00492004" w:rsidRPr="00CE3E6F" w:rsidRDefault="00492004" w:rsidP="00CE3E6F">
      <w:pPr>
        <w:pStyle w:val="Akapitzlist"/>
        <w:numPr>
          <w:ilvl w:val="0"/>
          <w:numId w:val="20"/>
        </w:numPr>
        <w:spacing w:after="0" w:line="240" w:lineRule="auto"/>
        <w:jc w:val="both"/>
        <w:rPr>
          <w:rFonts w:ascii="Arial" w:hAnsi="Arial" w:cs="Arial"/>
          <w:sz w:val="18"/>
          <w:szCs w:val="18"/>
        </w:rPr>
      </w:pPr>
      <w:r w:rsidRPr="00F77485">
        <w:rPr>
          <w:rFonts w:ascii="Arial" w:hAnsi="Arial" w:cs="Arial"/>
          <w:sz w:val="18"/>
          <w:szCs w:val="18"/>
        </w:rPr>
        <w:t xml:space="preserve">związków zawodowych oraz stowarzyszeń reprezentujących zawody medyczne: </w:t>
      </w:r>
      <w:r w:rsidR="00CE3E6F" w:rsidRPr="00CE3E6F">
        <w:rPr>
          <w:rFonts w:ascii="Arial" w:hAnsi="Arial" w:cs="Arial"/>
          <w:sz w:val="18"/>
          <w:szCs w:val="18"/>
        </w:rPr>
        <w:t>Krajowej Rady Diagnostów Laboratoryjnych;</w:t>
      </w:r>
      <w:r w:rsidR="00CE3E6F">
        <w:rPr>
          <w:rFonts w:ascii="Arial" w:hAnsi="Arial" w:cs="Arial"/>
          <w:sz w:val="18"/>
          <w:szCs w:val="18"/>
        </w:rPr>
        <w:t xml:space="preserve"> </w:t>
      </w:r>
      <w:r w:rsidR="00CE3E6F" w:rsidRPr="00CE3E6F">
        <w:rPr>
          <w:rFonts w:ascii="Arial" w:hAnsi="Arial" w:cs="Arial"/>
          <w:sz w:val="18"/>
          <w:szCs w:val="18"/>
        </w:rPr>
        <w:t>Ogólnopolskiego Związku Zawodowego Lekarzy;  Ogólnopolskiego Związku Zawodowego Pielęgniarek i Położnych;  Federacji Związków Pracodawców Ochrony Zdrowia „Porozumienie Zielonogórskie”;  Ogólnopolskiego Porozumienia Związków Zawodowych;</w:t>
      </w:r>
      <w:r w:rsidR="00CE3E6F">
        <w:rPr>
          <w:rFonts w:ascii="Arial" w:hAnsi="Arial" w:cs="Arial"/>
          <w:sz w:val="18"/>
          <w:szCs w:val="18"/>
        </w:rPr>
        <w:t xml:space="preserve"> </w:t>
      </w:r>
      <w:r w:rsidR="00CE3E6F" w:rsidRPr="00CE3E6F">
        <w:rPr>
          <w:rFonts w:ascii="Arial" w:hAnsi="Arial" w:cs="Arial"/>
          <w:sz w:val="18"/>
          <w:szCs w:val="18"/>
        </w:rPr>
        <w:t xml:space="preserve">Forum Związków Zawodowych; Pracodawców Rzeczypospolitej Polskiej; Konfederacji „Lewiatan”; Business Centre Club – Związek Pracodawców; </w:t>
      </w:r>
      <w:r w:rsidR="00CE3E6F">
        <w:rPr>
          <w:rFonts w:ascii="Arial" w:hAnsi="Arial" w:cs="Arial"/>
          <w:sz w:val="18"/>
          <w:szCs w:val="18"/>
        </w:rPr>
        <w:t xml:space="preserve"> </w:t>
      </w:r>
      <w:r w:rsidR="00CE3E6F" w:rsidRPr="00CE3E6F">
        <w:rPr>
          <w:rFonts w:ascii="Arial" w:hAnsi="Arial" w:cs="Arial"/>
          <w:sz w:val="18"/>
          <w:szCs w:val="18"/>
        </w:rPr>
        <w:t>Związku Przedsiębiorców i Pracodawców;</w:t>
      </w:r>
      <w:r w:rsidR="00CE3E6F">
        <w:rPr>
          <w:rFonts w:ascii="Arial" w:hAnsi="Arial" w:cs="Arial"/>
          <w:sz w:val="18"/>
          <w:szCs w:val="18"/>
        </w:rPr>
        <w:t xml:space="preserve"> </w:t>
      </w:r>
      <w:r w:rsidR="00CE3E6F" w:rsidRPr="00CE3E6F">
        <w:rPr>
          <w:rFonts w:ascii="Arial" w:hAnsi="Arial" w:cs="Arial"/>
          <w:sz w:val="18"/>
          <w:szCs w:val="18"/>
        </w:rPr>
        <w:t>Sekretariatu Ochrony Zdrowia KK–NSZZ „Solidarność”;</w:t>
      </w:r>
      <w:r w:rsidR="00CE3E6F">
        <w:rPr>
          <w:rFonts w:ascii="Arial" w:hAnsi="Arial" w:cs="Arial"/>
          <w:sz w:val="18"/>
          <w:szCs w:val="18"/>
        </w:rPr>
        <w:t xml:space="preserve"> </w:t>
      </w:r>
      <w:r w:rsidR="00CE3E6F" w:rsidRPr="00CE3E6F">
        <w:rPr>
          <w:rFonts w:ascii="Arial" w:hAnsi="Arial" w:cs="Arial"/>
          <w:sz w:val="18"/>
          <w:szCs w:val="18"/>
        </w:rPr>
        <w:t>KK NSZZ „Solidarność 80”;</w:t>
      </w:r>
      <w:r w:rsidR="001801FB">
        <w:rPr>
          <w:rFonts w:ascii="Arial" w:hAnsi="Arial" w:cs="Arial"/>
          <w:sz w:val="18"/>
          <w:szCs w:val="18"/>
        </w:rPr>
        <w:t xml:space="preserve"> </w:t>
      </w:r>
      <w:r w:rsidR="001801FB" w:rsidRPr="001801FB">
        <w:rPr>
          <w:rFonts w:ascii="Arial" w:hAnsi="Arial" w:cs="Arial"/>
          <w:sz w:val="18"/>
          <w:szCs w:val="18"/>
        </w:rPr>
        <w:t>Porozumienia Pracodawców Ochrony Zdrowia; Porozumienia Łódzkiego – Łódzkiego Związku Pracodawców Ochrony Zdrowia; Polskiej Federacji Pracodawców Prywatnych Ochrony Zdrowia.</w:t>
      </w:r>
    </w:p>
    <w:p w14:paraId="3B4E4D2B" w14:textId="4574CE8E" w:rsidR="00492004" w:rsidRPr="00F77485" w:rsidRDefault="00492004" w:rsidP="00492004">
      <w:pPr>
        <w:pStyle w:val="Akapitzlist"/>
        <w:numPr>
          <w:ilvl w:val="0"/>
          <w:numId w:val="20"/>
        </w:numPr>
        <w:spacing w:after="0" w:line="240" w:lineRule="auto"/>
        <w:jc w:val="both"/>
        <w:rPr>
          <w:rFonts w:ascii="Arial" w:hAnsi="Arial" w:cs="Arial"/>
          <w:sz w:val="18"/>
          <w:szCs w:val="18"/>
        </w:rPr>
      </w:pPr>
      <w:r w:rsidRPr="00F77485">
        <w:rPr>
          <w:rFonts w:ascii="Arial" w:hAnsi="Arial" w:cs="Arial"/>
          <w:sz w:val="18"/>
          <w:szCs w:val="18"/>
        </w:rPr>
        <w:t xml:space="preserve">fundacji, federacji i stowarzyszeń: </w:t>
      </w:r>
      <w:r w:rsidR="00836621">
        <w:rPr>
          <w:rFonts w:ascii="Arial" w:hAnsi="Arial" w:cs="Arial"/>
          <w:sz w:val="18"/>
          <w:szCs w:val="18"/>
        </w:rPr>
        <w:t xml:space="preserve">Stowarzyszenia Życie po Przeszczepie, </w:t>
      </w:r>
      <w:r w:rsidR="00F77485" w:rsidRPr="00F77485">
        <w:rPr>
          <w:rFonts w:ascii="Arial" w:hAnsi="Arial" w:cs="Arial"/>
          <w:sz w:val="18"/>
          <w:szCs w:val="18"/>
        </w:rPr>
        <w:t xml:space="preserve"> </w:t>
      </w:r>
      <w:r w:rsidR="009C104E" w:rsidRPr="009C104E">
        <w:rPr>
          <w:rFonts w:ascii="Arial" w:hAnsi="Arial" w:cs="Arial"/>
          <w:sz w:val="18"/>
          <w:szCs w:val="18"/>
        </w:rPr>
        <w:t>Federacja Związków Pracodawców Ochrony Zdrowia „Porozumienie Zielonogórskie”</w:t>
      </w:r>
      <w:r w:rsidR="00CE3E6F">
        <w:rPr>
          <w:rFonts w:ascii="Arial" w:hAnsi="Arial" w:cs="Arial"/>
          <w:sz w:val="18"/>
          <w:szCs w:val="18"/>
        </w:rPr>
        <w:t xml:space="preserve">; </w:t>
      </w:r>
      <w:r w:rsidR="00CE3E6F" w:rsidRPr="00CE3E6F">
        <w:rPr>
          <w:rFonts w:ascii="Arial" w:hAnsi="Arial" w:cs="Arial"/>
          <w:sz w:val="18"/>
          <w:szCs w:val="18"/>
        </w:rPr>
        <w:t>Federacji Przedsiębiorców Polskich; Związku Rzemiosła Polskiego; Federacji Pacjentów Polskich;</w:t>
      </w:r>
      <w:r w:rsidR="00CE3E6F">
        <w:rPr>
          <w:rFonts w:ascii="Arial" w:hAnsi="Arial" w:cs="Arial"/>
          <w:sz w:val="18"/>
          <w:szCs w:val="18"/>
        </w:rPr>
        <w:t xml:space="preserve"> </w:t>
      </w:r>
      <w:r w:rsidR="001801FB" w:rsidRPr="001801FB">
        <w:rPr>
          <w:rFonts w:ascii="Arial" w:hAnsi="Arial" w:cs="Arial"/>
          <w:sz w:val="18"/>
          <w:szCs w:val="18"/>
        </w:rPr>
        <w:t>Polskiej Unii Szpitali Klinicznych;  Stowarzyszenia Menedżerów Ochrony Zdrowia; Ogólnopolskiego Stowarzyszenia Szpitali Prywatnych; Polskiej Federacji Szpitali;</w:t>
      </w:r>
    </w:p>
    <w:p w14:paraId="302BA66D" w14:textId="77777777" w:rsidR="00CE3E6F" w:rsidRPr="00CE3E6F" w:rsidRDefault="00CE3E6F" w:rsidP="00CE3E6F">
      <w:pPr>
        <w:pStyle w:val="Akapitzlist"/>
        <w:numPr>
          <w:ilvl w:val="0"/>
          <w:numId w:val="20"/>
        </w:numPr>
        <w:spacing w:after="0" w:line="240" w:lineRule="auto"/>
        <w:jc w:val="both"/>
        <w:rPr>
          <w:rFonts w:ascii="Arial" w:hAnsi="Arial" w:cs="Arial"/>
          <w:sz w:val="18"/>
          <w:szCs w:val="18"/>
        </w:rPr>
      </w:pPr>
      <w:r w:rsidRPr="00CE3E6F">
        <w:rPr>
          <w:rFonts w:ascii="Arial" w:hAnsi="Arial" w:cs="Arial"/>
          <w:sz w:val="18"/>
          <w:szCs w:val="18"/>
        </w:rPr>
        <w:t>Konsultanta Krajowego w dziedzinie transfuzjologii klinicznej; Konsultanta Krajowego w dziedzinie hematologii;  Konsultanta Krajowego w dziedzinie transplantologii klinicznej; Konsultanta Krajowego w dziedzinie onkologii i hematologii dziecięcej;</w:t>
      </w:r>
    </w:p>
    <w:p w14:paraId="20F23067" w14:textId="77777777" w:rsidR="00492004" w:rsidRPr="009D673B" w:rsidRDefault="00492004" w:rsidP="00492004">
      <w:pPr>
        <w:spacing w:after="0" w:line="240" w:lineRule="auto"/>
        <w:jc w:val="both"/>
        <w:rPr>
          <w:rFonts w:ascii="Arial" w:hAnsi="Arial" w:cs="Arial"/>
          <w:sz w:val="18"/>
          <w:szCs w:val="18"/>
        </w:rPr>
      </w:pPr>
    </w:p>
    <w:p w14:paraId="536C72DF" w14:textId="55AF33E4" w:rsidR="00492004" w:rsidRDefault="00492004" w:rsidP="00C32853">
      <w:pPr>
        <w:spacing w:after="0" w:line="240" w:lineRule="auto"/>
        <w:jc w:val="both"/>
        <w:rPr>
          <w:rFonts w:ascii="Arial" w:hAnsi="Arial" w:cs="Arial"/>
          <w:sz w:val="18"/>
          <w:szCs w:val="18"/>
        </w:rPr>
      </w:pPr>
      <w:r w:rsidRPr="009D673B">
        <w:rPr>
          <w:rFonts w:ascii="Arial" w:hAnsi="Arial" w:cs="Arial"/>
          <w:sz w:val="18"/>
          <w:szCs w:val="18"/>
        </w:rPr>
        <w:t>W ramach konsultacji publicznych i opiniowania zgłoszono uwagi zawarte w poniższej tabe</w:t>
      </w:r>
      <w:r w:rsidR="001801FB">
        <w:rPr>
          <w:rFonts w:ascii="Arial" w:hAnsi="Arial" w:cs="Arial"/>
          <w:sz w:val="18"/>
          <w:szCs w:val="18"/>
        </w:rPr>
        <w:t>li</w:t>
      </w:r>
    </w:p>
    <w:p w14:paraId="01313F5B" w14:textId="77777777" w:rsidR="00F311CA" w:rsidRDefault="00F311CA" w:rsidP="00F311CA">
      <w:pPr>
        <w:rPr>
          <w:rFonts w:ascii="Arial" w:hAnsi="Arial" w:cs="Arial"/>
          <w:sz w:val="18"/>
          <w:szCs w:val="18"/>
        </w:rPr>
      </w:pPr>
    </w:p>
    <w:p w14:paraId="7AB6ACB4" w14:textId="77777777" w:rsidR="002031AD" w:rsidRDefault="002031AD" w:rsidP="0063135E">
      <w:pPr>
        <w:autoSpaceDE w:val="0"/>
        <w:autoSpaceDN w:val="0"/>
        <w:adjustRightInd w:val="0"/>
        <w:spacing w:after="0" w:line="240" w:lineRule="auto"/>
        <w:rPr>
          <w:rFonts w:ascii="Switzerlandpl" w:hAnsi="Switzerlandpl" w:cs="Switzerlandpl"/>
          <w:sz w:val="18"/>
          <w:szCs w:val="18"/>
          <w:lang w:eastAsia="pl-PL"/>
        </w:rPr>
      </w:pPr>
    </w:p>
    <w:p w14:paraId="72EE0F9E" w14:textId="309CCD57" w:rsidR="002031AD" w:rsidRPr="00DF44FD" w:rsidRDefault="002031AD" w:rsidP="0063135E">
      <w:pPr>
        <w:autoSpaceDE w:val="0"/>
        <w:autoSpaceDN w:val="0"/>
        <w:adjustRightInd w:val="0"/>
        <w:spacing w:after="0" w:line="240" w:lineRule="auto"/>
        <w:rPr>
          <w:rFonts w:ascii="Switzerlandpl" w:hAnsi="Switzerlandpl" w:cs="Switzerlandpl"/>
          <w:b/>
          <w:bCs/>
          <w:sz w:val="18"/>
          <w:szCs w:val="18"/>
          <w:lang w:eastAsia="pl-PL"/>
        </w:rPr>
      </w:pPr>
      <w:r w:rsidRPr="00DF44FD">
        <w:rPr>
          <w:rFonts w:ascii="Switzerlandpl" w:hAnsi="Switzerlandpl" w:cs="Switzerlandpl"/>
          <w:b/>
          <w:bCs/>
          <w:sz w:val="18"/>
          <w:szCs w:val="18"/>
          <w:lang w:eastAsia="pl-PL"/>
        </w:rPr>
        <w:t>Piśmiennictwo:</w:t>
      </w:r>
    </w:p>
    <w:p w14:paraId="7E0F899A" w14:textId="77777777" w:rsidR="00B06BDB" w:rsidRPr="00DF44FD" w:rsidRDefault="00B06BDB" w:rsidP="0063135E">
      <w:pPr>
        <w:autoSpaceDE w:val="0"/>
        <w:autoSpaceDN w:val="0"/>
        <w:adjustRightInd w:val="0"/>
        <w:spacing w:after="0" w:line="240" w:lineRule="auto"/>
        <w:rPr>
          <w:rFonts w:ascii="Switzerlandpl" w:hAnsi="Switzerlandpl" w:cs="Switzerlandpl"/>
          <w:b/>
          <w:bCs/>
          <w:sz w:val="18"/>
          <w:szCs w:val="18"/>
          <w:lang w:eastAsia="pl-PL"/>
        </w:rPr>
      </w:pPr>
    </w:p>
    <w:p w14:paraId="5BFB075B" w14:textId="0E8DDA9D" w:rsidR="0063135E" w:rsidRPr="00DF44FD" w:rsidRDefault="0063135E" w:rsidP="00B06BDB">
      <w:pPr>
        <w:pStyle w:val="Akapitzlist"/>
        <w:numPr>
          <w:ilvl w:val="0"/>
          <w:numId w:val="31"/>
        </w:numPr>
        <w:autoSpaceDE w:val="0"/>
        <w:autoSpaceDN w:val="0"/>
        <w:adjustRightInd w:val="0"/>
        <w:spacing w:after="0" w:line="240" w:lineRule="auto"/>
        <w:rPr>
          <w:rFonts w:ascii="Switzerlandpl" w:hAnsi="Switzerlandpl" w:cs="Switzerlandpl"/>
          <w:b/>
          <w:bCs/>
          <w:sz w:val="18"/>
          <w:szCs w:val="18"/>
          <w:lang w:val="en-US" w:eastAsia="pl-PL"/>
        </w:rPr>
      </w:pPr>
      <w:r w:rsidRPr="00DF44FD">
        <w:rPr>
          <w:rFonts w:ascii="Switzerlandpl" w:hAnsi="Switzerlandpl" w:cs="Switzerlandpl"/>
          <w:b/>
          <w:bCs/>
          <w:sz w:val="18"/>
          <w:szCs w:val="18"/>
          <w:lang w:val="en-US" w:eastAsia="pl-PL"/>
        </w:rPr>
        <w:t>Blood donor selection: Guidelines on assessing donor suitability for blood donation (WHO 2012).</w:t>
      </w:r>
    </w:p>
    <w:p w14:paraId="21AA6210" w14:textId="77777777" w:rsidR="00B06BDB" w:rsidRDefault="003B228D" w:rsidP="00B06BDB">
      <w:pPr>
        <w:pStyle w:val="Akapitzlist"/>
        <w:numPr>
          <w:ilvl w:val="0"/>
          <w:numId w:val="31"/>
        </w:numPr>
        <w:autoSpaceDE w:val="0"/>
        <w:autoSpaceDN w:val="0"/>
        <w:adjustRightInd w:val="0"/>
        <w:spacing w:after="0" w:line="240" w:lineRule="auto"/>
        <w:rPr>
          <w:rFonts w:ascii="Switzerlandpl" w:hAnsi="Switzerlandpl" w:cs="Switzerlandpl"/>
          <w:b/>
          <w:bCs/>
          <w:sz w:val="18"/>
          <w:szCs w:val="18"/>
          <w:lang w:eastAsia="pl-PL"/>
        </w:rPr>
      </w:pPr>
      <w:r w:rsidRPr="00DF44FD">
        <w:rPr>
          <w:rFonts w:ascii="Switzerlandpl" w:hAnsi="Switzerlandpl" w:cs="Switzerlandpl"/>
          <w:b/>
          <w:bCs/>
          <w:sz w:val="18"/>
          <w:szCs w:val="18"/>
          <w:lang w:val="en-US" w:eastAsia="pl-PL"/>
        </w:rPr>
        <w:t xml:space="preserve">European Directorate for the Quality of Medicines and HealthCare (EDQM): Guide to the preparation, use and quality assurance of blood components, Recommendation No. </w:t>
      </w:r>
      <w:r w:rsidRPr="00DF44FD">
        <w:rPr>
          <w:rFonts w:ascii="Switzerlandpl" w:hAnsi="Switzerlandpl" w:cs="Switzerlandpl"/>
          <w:b/>
          <w:bCs/>
          <w:sz w:val="18"/>
          <w:szCs w:val="18"/>
          <w:lang w:eastAsia="pl-PL"/>
        </w:rPr>
        <w:t>R (95) 15, 21</w:t>
      </w:r>
      <w:r w:rsidRPr="00DF44FD">
        <w:rPr>
          <w:rFonts w:ascii="Switzerlandpl" w:hAnsi="Switzerlandpl" w:cs="Switzerlandpl"/>
          <w:b/>
          <w:bCs/>
          <w:sz w:val="10"/>
          <w:szCs w:val="10"/>
          <w:lang w:eastAsia="pl-PL"/>
        </w:rPr>
        <w:t xml:space="preserve">th </w:t>
      </w:r>
      <w:r w:rsidRPr="00DF44FD">
        <w:rPr>
          <w:rFonts w:ascii="Switzerlandpl" w:hAnsi="Switzerlandpl" w:cs="Switzerlandpl"/>
          <w:b/>
          <w:bCs/>
          <w:sz w:val="18"/>
          <w:szCs w:val="18"/>
          <w:lang w:eastAsia="pl-PL"/>
        </w:rPr>
        <w:t>Edition, 2023.</w:t>
      </w:r>
    </w:p>
    <w:p w14:paraId="1F4F3C28" w14:textId="77777777" w:rsidR="00E54B6E" w:rsidRPr="00DF44FD" w:rsidRDefault="00E54B6E" w:rsidP="00E54B6E">
      <w:pPr>
        <w:pStyle w:val="Akapitzlist"/>
        <w:numPr>
          <w:ilvl w:val="0"/>
          <w:numId w:val="31"/>
        </w:numPr>
        <w:autoSpaceDE w:val="0"/>
        <w:autoSpaceDN w:val="0"/>
        <w:adjustRightInd w:val="0"/>
        <w:spacing w:after="0" w:line="240" w:lineRule="auto"/>
        <w:rPr>
          <w:rFonts w:ascii="Switzerlandpl" w:hAnsi="Switzerlandpl" w:cs="Switzerlandpl"/>
          <w:b/>
          <w:bCs/>
          <w:sz w:val="18"/>
          <w:szCs w:val="18"/>
          <w:lang w:eastAsia="pl-PL"/>
        </w:rPr>
      </w:pPr>
      <w:r w:rsidRPr="00DF44FD">
        <w:rPr>
          <w:rFonts w:ascii="Switzerlandpl" w:hAnsi="Switzerlandpl" w:cs="Switzerlandpl"/>
          <w:b/>
          <w:bCs/>
          <w:sz w:val="18"/>
          <w:szCs w:val="18"/>
          <w:lang w:eastAsia="pl-PL"/>
        </w:rPr>
        <w:t>Dyrektywa Komisji 2004/33/WE z dnia 22 marca 2004 r. wykonująca dyrektywę 2002/98/WE Parlamentu Europejskiego i Rady w zakresie niektórych wymagań technicznych dotyczących krwi i składników krwi.</w:t>
      </w:r>
    </w:p>
    <w:p w14:paraId="131ECA9A" w14:textId="77777777" w:rsidR="00E54B6E" w:rsidRPr="00DF44FD" w:rsidRDefault="00E54B6E" w:rsidP="00E54B6E">
      <w:pPr>
        <w:pStyle w:val="Akapitzlist"/>
        <w:autoSpaceDE w:val="0"/>
        <w:autoSpaceDN w:val="0"/>
        <w:adjustRightInd w:val="0"/>
        <w:spacing w:after="0" w:line="240" w:lineRule="auto"/>
        <w:rPr>
          <w:rFonts w:ascii="Switzerlandpl" w:hAnsi="Switzerlandpl" w:cs="Switzerlandpl"/>
          <w:b/>
          <w:bCs/>
          <w:sz w:val="18"/>
          <w:szCs w:val="18"/>
          <w:lang w:eastAsia="pl-PL"/>
        </w:rPr>
      </w:pPr>
    </w:p>
    <w:tbl>
      <w:tblPr>
        <w:tblpPr w:leftFromText="141" w:rightFromText="141" w:vertAnchor="page" w:horzAnchor="margin" w:tblpY="3861"/>
        <w:tblW w:w="14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986"/>
        <w:gridCol w:w="8646"/>
        <w:gridCol w:w="3236"/>
      </w:tblGrid>
      <w:tr w:rsidR="00DF44FD" w14:paraId="66DA160F" w14:textId="77777777" w:rsidTr="00DF44FD">
        <w:trPr>
          <w:trHeight w:val="276"/>
        </w:trPr>
        <w:tc>
          <w:tcPr>
            <w:tcW w:w="562" w:type="dxa"/>
            <w:tcBorders>
              <w:top w:val="single" w:sz="4" w:space="0" w:color="auto"/>
              <w:left w:val="single" w:sz="4" w:space="0" w:color="auto"/>
              <w:bottom w:val="single" w:sz="4" w:space="0" w:color="auto"/>
              <w:right w:val="single" w:sz="4" w:space="0" w:color="auto"/>
            </w:tcBorders>
            <w:vAlign w:val="center"/>
            <w:hideMark/>
          </w:tcPr>
          <w:p w14:paraId="3DA24201" w14:textId="77777777" w:rsidR="00DF44FD" w:rsidRDefault="00DF44FD" w:rsidP="00DF44FD">
            <w:pPr>
              <w:spacing w:line="240" w:lineRule="auto"/>
              <w:contextualSpacing/>
              <w:jc w:val="center"/>
              <w:rPr>
                <w:rFonts w:ascii="Arial" w:hAnsi="Arial" w:cs="Arial"/>
                <w:b/>
                <w:noProof/>
                <w:sz w:val="18"/>
                <w:szCs w:val="18"/>
              </w:rPr>
            </w:pPr>
            <w:r>
              <w:rPr>
                <w:rFonts w:ascii="Arial" w:hAnsi="Arial" w:cs="Arial"/>
                <w:b/>
                <w:noProof/>
                <w:sz w:val="18"/>
                <w:szCs w:val="18"/>
              </w:rPr>
              <w:t>L.p.</w:t>
            </w:r>
          </w:p>
        </w:tc>
        <w:tc>
          <w:tcPr>
            <w:tcW w:w="1986" w:type="dxa"/>
            <w:tcBorders>
              <w:top w:val="single" w:sz="4" w:space="0" w:color="auto"/>
              <w:left w:val="single" w:sz="4" w:space="0" w:color="auto"/>
              <w:bottom w:val="single" w:sz="4" w:space="0" w:color="auto"/>
              <w:right w:val="single" w:sz="4" w:space="0" w:color="auto"/>
            </w:tcBorders>
            <w:vAlign w:val="center"/>
            <w:hideMark/>
          </w:tcPr>
          <w:p w14:paraId="14CAEB38" w14:textId="77777777" w:rsidR="00DF44FD" w:rsidRDefault="00DF44FD" w:rsidP="00DF44FD">
            <w:pPr>
              <w:spacing w:line="240" w:lineRule="auto"/>
              <w:contextualSpacing/>
              <w:jc w:val="center"/>
              <w:rPr>
                <w:rFonts w:ascii="Arial" w:hAnsi="Arial" w:cs="Arial"/>
                <w:b/>
                <w:sz w:val="18"/>
                <w:szCs w:val="18"/>
              </w:rPr>
            </w:pPr>
            <w:r>
              <w:rPr>
                <w:rFonts w:ascii="Arial" w:hAnsi="Arial" w:cs="Arial"/>
                <w:b/>
                <w:sz w:val="18"/>
                <w:szCs w:val="18"/>
              </w:rPr>
              <w:t>Podmiot zgłaszający uwagę</w:t>
            </w:r>
          </w:p>
        </w:tc>
        <w:tc>
          <w:tcPr>
            <w:tcW w:w="8646" w:type="dxa"/>
            <w:tcBorders>
              <w:top w:val="single" w:sz="4" w:space="0" w:color="auto"/>
              <w:left w:val="single" w:sz="4" w:space="0" w:color="auto"/>
              <w:bottom w:val="single" w:sz="4" w:space="0" w:color="auto"/>
              <w:right w:val="single" w:sz="4" w:space="0" w:color="auto"/>
            </w:tcBorders>
            <w:hideMark/>
          </w:tcPr>
          <w:p w14:paraId="47AE886D" w14:textId="77777777" w:rsidR="00DF44FD" w:rsidRDefault="00DF44FD" w:rsidP="00DF44FD">
            <w:pPr>
              <w:spacing w:line="240" w:lineRule="auto"/>
              <w:contextualSpacing/>
              <w:jc w:val="center"/>
              <w:rPr>
                <w:rFonts w:ascii="Arial" w:hAnsi="Arial" w:cs="Arial"/>
                <w:b/>
                <w:sz w:val="18"/>
                <w:szCs w:val="18"/>
              </w:rPr>
            </w:pPr>
            <w:r>
              <w:rPr>
                <w:rFonts w:ascii="Arial" w:hAnsi="Arial" w:cs="Arial"/>
                <w:b/>
                <w:sz w:val="18"/>
                <w:szCs w:val="18"/>
              </w:rPr>
              <w:t>Treść uwagi</w:t>
            </w:r>
          </w:p>
        </w:tc>
        <w:tc>
          <w:tcPr>
            <w:tcW w:w="3236" w:type="dxa"/>
            <w:tcBorders>
              <w:top w:val="single" w:sz="4" w:space="0" w:color="auto"/>
              <w:left w:val="single" w:sz="4" w:space="0" w:color="auto"/>
              <w:bottom w:val="single" w:sz="4" w:space="0" w:color="auto"/>
              <w:right w:val="single" w:sz="4" w:space="0" w:color="auto"/>
            </w:tcBorders>
            <w:hideMark/>
          </w:tcPr>
          <w:p w14:paraId="0DB4A993" w14:textId="77777777" w:rsidR="00DF44FD" w:rsidRDefault="00DF44FD" w:rsidP="00DF44FD">
            <w:pPr>
              <w:spacing w:line="240" w:lineRule="auto"/>
              <w:contextualSpacing/>
              <w:jc w:val="center"/>
              <w:rPr>
                <w:rFonts w:ascii="Arial" w:hAnsi="Arial" w:cs="Arial"/>
                <w:b/>
                <w:sz w:val="18"/>
                <w:szCs w:val="18"/>
              </w:rPr>
            </w:pPr>
            <w:r>
              <w:rPr>
                <w:rFonts w:ascii="Arial" w:hAnsi="Arial" w:cs="Arial"/>
                <w:b/>
                <w:sz w:val="18"/>
                <w:szCs w:val="18"/>
              </w:rPr>
              <w:t>Stanowisko</w:t>
            </w:r>
          </w:p>
        </w:tc>
      </w:tr>
      <w:tr w:rsidR="00DF44FD" w14:paraId="028B077C" w14:textId="77777777" w:rsidTr="00DF44FD">
        <w:trPr>
          <w:trHeight w:val="2401"/>
        </w:trPr>
        <w:tc>
          <w:tcPr>
            <w:tcW w:w="562" w:type="dxa"/>
            <w:tcBorders>
              <w:top w:val="single" w:sz="4" w:space="0" w:color="auto"/>
              <w:left w:val="single" w:sz="4" w:space="0" w:color="auto"/>
              <w:bottom w:val="single" w:sz="4" w:space="0" w:color="auto"/>
              <w:right w:val="single" w:sz="4" w:space="0" w:color="auto"/>
            </w:tcBorders>
            <w:vAlign w:val="center"/>
          </w:tcPr>
          <w:p w14:paraId="578D3D5A" w14:textId="77777777" w:rsidR="00DF44FD" w:rsidRDefault="00DF44FD" w:rsidP="00DF44FD">
            <w:pPr>
              <w:pStyle w:val="Akapitzlist"/>
              <w:numPr>
                <w:ilvl w:val="0"/>
                <w:numId w:val="21"/>
              </w:numPr>
              <w:spacing w:after="0" w:line="240" w:lineRule="auto"/>
              <w:rPr>
                <w:rFonts w:ascii="Arial" w:hAnsi="Arial" w:cs="Arial"/>
                <w:bCs/>
                <w:noProof/>
                <w:sz w:val="18"/>
                <w:szCs w:val="18"/>
              </w:rPr>
            </w:pPr>
          </w:p>
        </w:tc>
        <w:tc>
          <w:tcPr>
            <w:tcW w:w="1986" w:type="dxa"/>
            <w:tcBorders>
              <w:top w:val="single" w:sz="4" w:space="0" w:color="auto"/>
              <w:left w:val="single" w:sz="4" w:space="0" w:color="auto"/>
              <w:bottom w:val="single" w:sz="4" w:space="0" w:color="auto"/>
              <w:right w:val="single" w:sz="4" w:space="0" w:color="auto"/>
            </w:tcBorders>
            <w:vAlign w:val="center"/>
            <w:hideMark/>
          </w:tcPr>
          <w:p w14:paraId="607781DB" w14:textId="77777777" w:rsidR="00DF44FD" w:rsidRPr="001801FB" w:rsidRDefault="00DF44FD" w:rsidP="00DF44FD">
            <w:pPr>
              <w:spacing w:line="240" w:lineRule="auto"/>
              <w:contextualSpacing/>
              <w:rPr>
                <w:rFonts w:ascii="Lato" w:hAnsi="Lato" w:cs="Arial"/>
                <w:b/>
                <w:sz w:val="18"/>
                <w:szCs w:val="18"/>
              </w:rPr>
            </w:pPr>
            <w:r w:rsidRPr="00DF44FD">
              <w:rPr>
                <w:rFonts w:ascii="Lato" w:hAnsi="Lato"/>
                <w:sz w:val="18"/>
                <w:szCs w:val="18"/>
              </w:rPr>
              <w:t>Krajowy Związek Zawodowy Pracowników Medycznych Laboratoriów</w:t>
            </w:r>
          </w:p>
        </w:tc>
        <w:tc>
          <w:tcPr>
            <w:tcW w:w="8646" w:type="dxa"/>
            <w:tcBorders>
              <w:top w:val="single" w:sz="4" w:space="0" w:color="auto"/>
              <w:left w:val="single" w:sz="4" w:space="0" w:color="auto"/>
              <w:bottom w:val="single" w:sz="4" w:space="0" w:color="auto"/>
              <w:right w:val="single" w:sz="4" w:space="0" w:color="auto"/>
            </w:tcBorders>
          </w:tcPr>
          <w:p w14:paraId="63BD986E" w14:textId="77777777" w:rsidR="00DF44FD" w:rsidRPr="00DF44FD" w:rsidRDefault="00DF44FD" w:rsidP="00DF44FD">
            <w:pPr>
              <w:spacing w:after="0"/>
              <w:jc w:val="both"/>
              <w:rPr>
                <w:rFonts w:ascii="Lato" w:hAnsi="Lato"/>
                <w:sz w:val="18"/>
                <w:szCs w:val="18"/>
              </w:rPr>
            </w:pPr>
            <w:r w:rsidRPr="00DF44FD">
              <w:rPr>
                <w:rFonts w:ascii="Lato" w:hAnsi="Lato"/>
                <w:sz w:val="18"/>
                <w:szCs w:val="18"/>
              </w:rPr>
              <w:t xml:space="preserve">W § 1. rozporządzenia Ministra Zdrowia z dnia 11 września 2017 r. </w:t>
            </w:r>
            <w:r w:rsidRPr="00DF44FD">
              <w:rPr>
                <w:rFonts w:ascii="Lato" w:hAnsi="Lato"/>
                <w:i/>
                <w:iCs/>
                <w:sz w:val="18"/>
                <w:szCs w:val="18"/>
              </w:rPr>
              <w:t>w sprawie warunków pobierania krwi od kandydatów na dawców krwi i dawców krwi</w:t>
            </w:r>
            <w:r w:rsidRPr="00DF44FD">
              <w:rPr>
                <w:rFonts w:ascii="Lato" w:hAnsi="Lato"/>
                <w:sz w:val="18"/>
                <w:szCs w:val="18"/>
              </w:rPr>
              <w:t xml:space="preserve"> (Dz. U. 2022 poz. 1279)</w:t>
            </w:r>
            <w:r w:rsidRPr="00DF44FD">
              <w:rPr>
                <w:rFonts w:ascii="Lato" w:hAnsi="Lato"/>
                <w:b/>
                <w:bCs/>
                <w:sz w:val="18"/>
                <w:szCs w:val="18"/>
              </w:rPr>
              <w:t xml:space="preserve"> proponuje się uzupełnić zapisy w brzmieniu proponowanym poniżej:</w:t>
            </w:r>
          </w:p>
          <w:p w14:paraId="7B8DA70C" w14:textId="77777777" w:rsidR="00DF44FD" w:rsidRPr="00DF44FD" w:rsidRDefault="00DF44FD" w:rsidP="00DF44FD">
            <w:pPr>
              <w:spacing w:after="0"/>
              <w:jc w:val="both"/>
              <w:rPr>
                <w:rFonts w:ascii="Lato" w:hAnsi="Lato"/>
                <w:sz w:val="18"/>
                <w:szCs w:val="18"/>
              </w:rPr>
            </w:pPr>
            <w:r w:rsidRPr="00DF44FD">
              <w:rPr>
                <w:rFonts w:ascii="Lato" w:hAnsi="Lato"/>
                <w:sz w:val="18"/>
                <w:szCs w:val="18"/>
              </w:rPr>
              <w:t>W § 1. W rozporządzeniu Ministra Zdrowia z dnia 11 września 2017 r. w sprawie warunków pobierania krwi od kandydatów na dawców krwi i dawców krwi (Dz. U. 2022 poz. 1279) wprowadza się następujące zmiany:</w:t>
            </w:r>
          </w:p>
          <w:p w14:paraId="044E7791" w14:textId="77777777" w:rsidR="00DF44FD" w:rsidRPr="00DF44FD" w:rsidRDefault="00DF44FD" w:rsidP="00DF44FD">
            <w:pPr>
              <w:spacing w:after="0"/>
              <w:jc w:val="both"/>
              <w:rPr>
                <w:rFonts w:ascii="Lato" w:hAnsi="Lato"/>
                <w:sz w:val="18"/>
                <w:szCs w:val="18"/>
              </w:rPr>
            </w:pPr>
            <w:r w:rsidRPr="00DF44FD">
              <w:rPr>
                <w:rFonts w:ascii="Lato" w:hAnsi="Lato"/>
                <w:sz w:val="18"/>
                <w:szCs w:val="18"/>
              </w:rPr>
              <w:t>1) w § 3:</w:t>
            </w:r>
          </w:p>
          <w:p w14:paraId="514DA10F" w14:textId="77777777" w:rsidR="00DF44FD" w:rsidRPr="00DF44FD" w:rsidRDefault="00DF44FD" w:rsidP="00DF44FD">
            <w:pPr>
              <w:spacing w:after="0"/>
              <w:jc w:val="both"/>
              <w:rPr>
                <w:rFonts w:ascii="Lato" w:hAnsi="Lato"/>
                <w:sz w:val="18"/>
                <w:szCs w:val="18"/>
              </w:rPr>
            </w:pPr>
            <w:r w:rsidRPr="00DF44FD">
              <w:rPr>
                <w:rFonts w:ascii="Lato" w:hAnsi="Lato"/>
                <w:sz w:val="18"/>
                <w:szCs w:val="18"/>
              </w:rPr>
              <w:t>a) ust. 1 otrzymuje brzmienie:</w:t>
            </w:r>
          </w:p>
          <w:p w14:paraId="2A289CCF" w14:textId="77777777" w:rsidR="00DF44FD" w:rsidRPr="00DF44FD" w:rsidRDefault="00DF44FD" w:rsidP="00DF44FD">
            <w:pPr>
              <w:spacing w:after="0"/>
              <w:jc w:val="both"/>
              <w:rPr>
                <w:rFonts w:ascii="Lato" w:hAnsi="Lato"/>
                <w:sz w:val="18"/>
                <w:szCs w:val="18"/>
              </w:rPr>
            </w:pPr>
            <w:r w:rsidRPr="00DF44FD">
              <w:rPr>
                <w:rFonts w:ascii="Lato" w:hAnsi="Lato"/>
                <w:sz w:val="18"/>
                <w:szCs w:val="18"/>
              </w:rPr>
              <w:t xml:space="preserve">„1. O spełnianiu przez kandydata na dawcę krwi lub dawcę krwi wymagań zdrowotnych, o których mowa w § 2 ust. 1, orzeka lekarz albo pielęgniarka, o której mowa w art. 15 ust. 1 pkt 1 lit. b ustawy, albo </w:t>
            </w:r>
            <w:r w:rsidRPr="00DF44FD">
              <w:rPr>
                <w:rFonts w:ascii="Lato" w:hAnsi="Lato"/>
                <w:b/>
                <w:bCs/>
                <w:sz w:val="18"/>
                <w:szCs w:val="18"/>
              </w:rPr>
              <w:t>diagnosta laboratoryjny, który przeprowadził, pod nadzorem lekarza, co najmniej 100 kwalifikacji dawców do oddania krwi lub jej składników</w:t>
            </w:r>
            <w:r w:rsidRPr="00DF44FD">
              <w:rPr>
                <w:rFonts w:ascii="Lato" w:hAnsi="Lato"/>
                <w:sz w:val="18"/>
                <w:szCs w:val="18"/>
              </w:rPr>
              <w:t xml:space="preserve"> po przeprowadzeniu badania medycznego, które obejmuje elementy wymienione w art. 15 ust. 1 pkt 3 ustawy.”</w:t>
            </w:r>
          </w:p>
          <w:p w14:paraId="73147B4D" w14:textId="77777777" w:rsidR="00DF44FD" w:rsidRPr="00DF44FD" w:rsidRDefault="00DF44FD" w:rsidP="00DF44FD">
            <w:pPr>
              <w:spacing w:after="0"/>
              <w:jc w:val="both"/>
              <w:rPr>
                <w:rFonts w:ascii="Lato" w:hAnsi="Lato"/>
                <w:sz w:val="18"/>
                <w:szCs w:val="18"/>
              </w:rPr>
            </w:pPr>
            <w:r w:rsidRPr="00DF44FD">
              <w:rPr>
                <w:rFonts w:ascii="Lato" w:hAnsi="Lato"/>
                <w:sz w:val="18"/>
                <w:szCs w:val="18"/>
              </w:rPr>
              <w:t>2) w § 4:</w:t>
            </w:r>
          </w:p>
          <w:p w14:paraId="73CB2B76" w14:textId="77777777" w:rsidR="00DF44FD" w:rsidRPr="00DF44FD" w:rsidRDefault="00DF44FD" w:rsidP="00DF44FD">
            <w:pPr>
              <w:spacing w:after="0"/>
              <w:jc w:val="both"/>
              <w:rPr>
                <w:rFonts w:ascii="Lato" w:hAnsi="Lato"/>
                <w:sz w:val="18"/>
                <w:szCs w:val="18"/>
              </w:rPr>
            </w:pPr>
            <w:r w:rsidRPr="00DF44FD">
              <w:rPr>
                <w:rFonts w:ascii="Lato" w:hAnsi="Lato"/>
                <w:sz w:val="18"/>
                <w:szCs w:val="18"/>
              </w:rPr>
              <w:t xml:space="preserve">w § 5 ust. 1 otrzymuje brzmienie: „1. Orzeczenie lekarza albo pielęgniarki, o której mowa w art. 15 ust. 1 pkt 1 lit. b ustawy </w:t>
            </w:r>
            <w:r w:rsidRPr="00DF44FD">
              <w:rPr>
                <w:rFonts w:ascii="Lato" w:hAnsi="Lato"/>
                <w:b/>
                <w:bCs/>
                <w:sz w:val="18"/>
                <w:szCs w:val="18"/>
              </w:rPr>
              <w:t>albo diagnosty laboratoryjnego, który</w:t>
            </w:r>
            <w:r w:rsidRPr="00DF44FD">
              <w:rPr>
                <w:rFonts w:ascii="Lato" w:hAnsi="Lato"/>
                <w:sz w:val="18"/>
                <w:szCs w:val="18"/>
              </w:rPr>
              <w:t xml:space="preserve"> </w:t>
            </w:r>
            <w:r w:rsidRPr="00DF44FD">
              <w:rPr>
                <w:rFonts w:ascii="Lato" w:hAnsi="Lato"/>
                <w:b/>
                <w:bCs/>
                <w:sz w:val="18"/>
                <w:szCs w:val="18"/>
              </w:rPr>
              <w:t>przeprowadził, pod nadzorem lekarza, co najmniej 100 kwalifikacji dawców do oddania krwi lub jej składników</w:t>
            </w:r>
            <w:r w:rsidRPr="00DF44FD">
              <w:rPr>
                <w:rFonts w:ascii="Lato" w:hAnsi="Lato"/>
                <w:sz w:val="18"/>
                <w:szCs w:val="18"/>
              </w:rPr>
              <w:t>, o stanie zdrowia kandydata na dawcę krwi lub dawcę krwi zawiera określenie „kwalifikuje się do pobrania krwi” albo „nie kwalifikuje się do pobrania krwi”.</w:t>
            </w:r>
          </w:p>
          <w:p w14:paraId="544F3CAF" w14:textId="77777777" w:rsidR="00DF44FD" w:rsidRPr="00DF44FD" w:rsidRDefault="00DF44FD" w:rsidP="00DF44FD">
            <w:pPr>
              <w:jc w:val="both"/>
              <w:rPr>
                <w:rFonts w:ascii="Lato" w:hAnsi="Lato"/>
                <w:sz w:val="18"/>
                <w:szCs w:val="18"/>
                <w:u w:val="single"/>
              </w:rPr>
            </w:pPr>
            <w:r w:rsidRPr="00DF44FD">
              <w:rPr>
                <w:rFonts w:ascii="Lato" w:hAnsi="Lato"/>
                <w:sz w:val="18"/>
                <w:szCs w:val="18"/>
                <w:u w:val="single"/>
              </w:rPr>
              <w:t>Uzasadnienie:</w:t>
            </w:r>
          </w:p>
          <w:p w14:paraId="7ED7F849" w14:textId="77777777" w:rsidR="00DF44FD" w:rsidRPr="00DF44FD" w:rsidRDefault="00DF44FD" w:rsidP="00DF44FD">
            <w:pPr>
              <w:spacing w:before="240"/>
              <w:jc w:val="both"/>
              <w:rPr>
                <w:rFonts w:ascii="Lato" w:hAnsi="Lato"/>
                <w:sz w:val="18"/>
                <w:szCs w:val="18"/>
              </w:rPr>
            </w:pPr>
            <w:r w:rsidRPr="00DF44FD">
              <w:rPr>
                <w:rFonts w:ascii="Lato" w:hAnsi="Lato"/>
                <w:sz w:val="18"/>
                <w:szCs w:val="18"/>
              </w:rPr>
              <w:t xml:space="preserve">Dopuszczenie możliwości kwalifikacji dawców przez diagnostów laboratoryjnych, podobnie jak przez pielęgniarki posiadające tytuł zawodowy magistra pielęgniarstwa, przyczyni się do zwiększenia możliwości kwalifikacji dawców, w przypadku ograniczonej liczby lekarzy np. w oddziałach terenowych czy podczas mobilnych akcji pobierania krwi. Diagności laboratoryjni stanowią ok. połowy personelu Centrów Krwiodawstwa i Krwiolecznictwa, stanowią również wykwalifikowany personel medyczny – wszyscy </w:t>
            </w:r>
            <w:r w:rsidRPr="00DF44FD">
              <w:rPr>
                <w:rFonts w:ascii="Lato" w:hAnsi="Lato"/>
                <w:sz w:val="18"/>
                <w:szCs w:val="18"/>
              </w:rPr>
              <w:lastRenderedPageBreak/>
              <w:t xml:space="preserve">posiadają tytuł zawodowy magistra, a część z nich posiada ponadto specjalizację w dziedzinie laboratoryjnej transfuzjologii medycznej. Zgodnie z rozporządzeniem Ministra Zdrowia z dnia 9 kwietnia 2021 r. </w:t>
            </w:r>
            <w:r w:rsidRPr="00DF44FD">
              <w:rPr>
                <w:rFonts w:ascii="Lato" w:hAnsi="Lato"/>
                <w:i/>
                <w:iCs/>
                <w:sz w:val="18"/>
                <w:szCs w:val="18"/>
              </w:rPr>
              <w:t xml:space="preserve">w sprawie kwalifikacji osób przeprowadzających badania kwalifikacyjne i szczepienia ochronne przeciwko COVID-19 </w:t>
            </w:r>
            <w:r w:rsidRPr="00DF44FD">
              <w:rPr>
                <w:rFonts w:ascii="Lato" w:hAnsi="Lato"/>
                <w:sz w:val="18"/>
                <w:szCs w:val="18"/>
              </w:rPr>
              <w:t>diagności laboratoryjni uzyskali także uprawnienia do przeprowadzania badania kwalifikacyjnego osób do szczepień ochronnych przeciwko COVID-19 (</w:t>
            </w:r>
            <w:r w:rsidRPr="00DF44FD">
              <w:rPr>
                <w:rFonts w:ascii="Lato" w:hAnsi="Lato"/>
                <w:i/>
                <w:iCs/>
                <w:sz w:val="18"/>
                <w:szCs w:val="18"/>
              </w:rPr>
              <w:t xml:space="preserve">Badanie kwalifikacyjne, o którym mowa w art. 21c ust. 1 ustawy, może przeprowadzać osoba, która (…) wykonuje zawód fizjoterapeuty, farmaceuty, </w:t>
            </w:r>
            <w:r w:rsidRPr="00DF44FD">
              <w:rPr>
                <w:rFonts w:ascii="Lato" w:hAnsi="Lato"/>
                <w:b/>
                <w:bCs/>
                <w:i/>
                <w:iCs/>
                <w:sz w:val="18"/>
                <w:szCs w:val="18"/>
              </w:rPr>
              <w:t xml:space="preserve">diagnosty laboratoryjnego </w:t>
            </w:r>
            <w:r w:rsidRPr="00DF44FD">
              <w:rPr>
                <w:rFonts w:ascii="Lato" w:hAnsi="Lato"/>
                <w:i/>
                <w:iCs/>
                <w:sz w:val="18"/>
                <w:szCs w:val="18"/>
              </w:rPr>
              <w:t xml:space="preserve">i uzyskała dokument potwierdzający ukończenie szkolenia teoretycznego, dostępnego na platformie e-learningowej Centrum Medycznego Kształcenia Podyplomowego). </w:t>
            </w:r>
            <w:r w:rsidRPr="00DF44FD">
              <w:rPr>
                <w:rFonts w:ascii="Lato" w:hAnsi="Lato"/>
                <w:sz w:val="18"/>
                <w:szCs w:val="18"/>
              </w:rPr>
              <w:t>W opinii Zarządu KZZPMLD nie ma zatem przeciwwskazań, by diagności laboratoryjni po odpowiednim przeszkoleniu stanowili samodzielny personel kwalifikujący kandydatów na dawców krwi i dawców krwi.</w:t>
            </w:r>
          </w:p>
          <w:p w14:paraId="3E5D0C3E" w14:textId="77777777" w:rsidR="00DF44FD" w:rsidRPr="00DF44FD" w:rsidRDefault="00DF44FD" w:rsidP="00DF44FD">
            <w:pPr>
              <w:spacing w:after="0"/>
              <w:jc w:val="both"/>
              <w:rPr>
                <w:rFonts w:ascii="Lato" w:hAnsi="Lato" w:cs="Arial"/>
                <w:sz w:val="18"/>
                <w:szCs w:val="18"/>
              </w:rPr>
            </w:pPr>
          </w:p>
        </w:tc>
        <w:tc>
          <w:tcPr>
            <w:tcW w:w="3236" w:type="dxa"/>
            <w:tcBorders>
              <w:top w:val="single" w:sz="4" w:space="0" w:color="auto"/>
              <w:left w:val="single" w:sz="4" w:space="0" w:color="auto"/>
              <w:bottom w:val="single" w:sz="4" w:space="0" w:color="auto"/>
              <w:right w:val="single" w:sz="4" w:space="0" w:color="auto"/>
            </w:tcBorders>
          </w:tcPr>
          <w:p w14:paraId="12AB8CF4" w14:textId="77777777" w:rsidR="00DF44FD" w:rsidRPr="00DF44FD" w:rsidRDefault="00DF44FD" w:rsidP="00DF44FD">
            <w:pPr>
              <w:pStyle w:val="pf0"/>
              <w:rPr>
                <w:rFonts w:ascii="Lato" w:hAnsi="Lato" w:cs="Arial"/>
                <w:sz w:val="18"/>
                <w:szCs w:val="18"/>
              </w:rPr>
            </w:pPr>
            <w:r w:rsidRPr="00DF44FD">
              <w:rPr>
                <w:rStyle w:val="cf01"/>
                <w:rFonts w:ascii="Lato" w:hAnsi="Lato"/>
              </w:rPr>
              <w:lastRenderedPageBreak/>
              <w:t>Uwaga niezasadna</w:t>
            </w:r>
          </w:p>
          <w:p w14:paraId="5A4B2BBB" w14:textId="77777777" w:rsidR="00DF44FD" w:rsidRPr="00DF44FD" w:rsidRDefault="00DF44FD" w:rsidP="00DF44FD">
            <w:pPr>
              <w:pStyle w:val="pf0"/>
              <w:rPr>
                <w:rStyle w:val="cf01"/>
                <w:rFonts w:ascii="Lato" w:hAnsi="Lato"/>
              </w:rPr>
            </w:pPr>
            <w:r w:rsidRPr="00DF44FD">
              <w:rPr>
                <w:rStyle w:val="cf01"/>
                <w:rFonts w:ascii="Lato" w:hAnsi="Lato"/>
              </w:rPr>
              <w:t>Zgodnie z art. 15 ustawy o publicznej służby krwi za dopuszczenie do pobierania krwi lub jej składników odpowiada lekarz albo pielęgniarka posiadająca tytuł magistra pielęgniarstwa, która przeprowadziła pod nadzorem lekarza, co najmniej 100 kwalifikacji dawców do oddania krwi lub jej składników. (Przyznanie prawa do kwalifikacji dawców krwi pielęgniarkom nastąpiło na podstawie ustawy z dnia 9 marca 2023 r. o Krajowej Sieci Onkologicznej).</w:t>
            </w:r>
          </w:p>
          <w:p w14:paraId="10D97C87" w14:textId="77777777" w:rsidR="00DF44FD" w:rsidRPr="00DF44FD" w:rsidRDefault="00DF44FD" w:rsidP="00DF44FD">
            <w:pPr>
              <w:pStyle w:val="Default"/>
              <w:spacing w:line="276" w:lineRule="auto"/>
              <w:jc w:val="both"/>
              <w:rPr>
                <w:rFonts w:ascii="Lato" w:hAnsi="Lato" w:cs="Arial"/>
                <w:sz w:val="18"/>
                <w:szCs w:val="18"/>
              </w:rPr>
            </w:pPr>
          </w:p>
        </w:tc>
      </w:tr>
      <w:tr w:rsidR="00DF44FD" w14:paraId="6FFDF038" w14:textId="77777777" w:rsidTr="00DF44FD">
        <w:trPr>
          <w:trHeight w:val="276"/>
        </w:trPr>
        <w:tc>
          <w:tcPr>
            <w:tcW w:w="562" w:type="dxa"/>
            <w:tcBorders>
              <w:top w:val="single" w:sz="4" w:space="0" w:color="auto"/>
              <w:left w:val="single" w:sz="4" w:space="0" w:color="auto"/>
              <w:bottom w:val="single" w:sz="4" w:space="0" w:color="auto"/>
              <w:right w:val="single" w:sz="4" w:space="0" w:color="auto"/>
            </w:tcBorders>
            <w:vAlign w:val="center"/>
          </w:tcPr>
          <w:p w14:paraId="2AAADB9E" w14:textId="77777777" w:rsidR="00DF44FD" w:rsidRDefault="00DF44FD" w:rsidP="00DF44FD">
            <w:pPr>
              <w:pStyle w:val="Akapitzlist"/>
              <w:numPr>
                <w:ilvl w:val="0"/>
                <w:numId w:val="21"/>
              </w:numPr>
              <w:spacing w:after="0" w:line="240" w:lineRule="auto"/>
              <w:jc w:val="center"/>
              <w:rPr>
                <w:rFonts w:ascii="Arial" w:hAnsi="Arial" w:cs="Arial"/>
                <w:b/>
                <w:noProof/>
                <w:sz w:val="18"/>
                <w:szCs w:val="18"/>
              </w:rPr>
            </w:pPr>
          </w:p>
        </w:tc>
        <w:tc>
          <w:tcPr>
            <w:tcW w:w="1986" w:type="dxa"/>
            <w:tcBorders>
              <w:top w:val="single" w:sz="4" w:space="0" w:color="auto"/>
              <w:left w:val="single" w:sz="4" w:space="0" w:color="auto"/>
              <w:bottom w:val="single" w:sz="4" w:space="0" w:color="auto"/>
              <w:right w:val="single" w:sz="4" w:space="0" w:color="auto"/>
            </w:tcBorders>
            <w:vAlign w:val="center"/>
            <w:hideMark/>
          </w:tcPr>
          <w:p w14:paraId="77B7FF62" w14:textId="77777777" w:rsidR="00DF44FD" w:rsidRPr="001801FB" w:rsidRDefault="00DF44FD" w:rsidP="00DF44FD">
            <w:pPr>
              <w:spacing w:line="240" w:lineRule="auto"/>
              <w:contextualSpacing/>
              <w:jc w:val="center"/>
              <w:rPr>
                <w:rFonts w:ascii="Lato" w:hAnsi="Lato" w:cs="Arial"/>
                <w:b/>
                <w:sz w:val="18"/>
                <w:szCs w:val="18"/>
              </w:rPr>
            </w:pPr>
            <w:proofErr w:type="spellStart"/>
            <w:r w:rsidRPr="001801FB">
              <w:rPr>
                <w:rFonts w:ascii="Lato" w:hAnsi="Lato" w:cs="Arial"/>
                <w:b/>
                <w:sz w:val="20"/>
                <w:szCs w:val="20"/>
              </w:rPr>
              <w:t>RCKiK</w:t>
            </w:r>
            <w:proofErr w:type="spellEnd"/>
            <w:r w:rsidRPr="001801FB">
              <w:rPr>
                <w:rFonts w:ascii="Lato" w:hAnsi="Lato" w:cs="Arial"/>
                <w:b/>
                <w:sz w:val="20"/>
                <w:szCs w:val="20"/>
              </w:rPr>
              <w:t xml:space="preserve"> Olsztyn</w:t>
            </w:r>
          </w:p>
        </w:tc>
        <w:tc>
          <w:tcPr>
            <w:tcW w:w="8646" w:type="dxa"/>
            <w:tcBorders>
              <w:top w:val="single" w:sz="4" w:space="0" w:color="auto"/>
              <w:left w:val="single" w:sz="4" w:space="0" w:color="auto"/>
              <w:bottom w:val="single" w:sz="4" w:space="0" w:color="auto"/>
              <w:right w:val="single" w:sz="4" w:space="0" w:color="auto"/>
            </w:tcBorders>
          </w:tcPr>
          <w:p w14:paraId="68CD5247" w14:textId="77777777" w:rsidR="00DF44FD" w:rsidRPr="00DF44FD" w:rsidRDefault="00DF44FD" w:rsidP="00DF44FD">
            <w:pPr>
              <w:pStyle w:val="NormalnyWeb"/>
              <w:spacing w:before="0" w:beforeAutospacing="0" w:after="0" w:afterAutospacing="0" w:line="276" w:lineRule="auto"/>
              <w:ind w:firstLine="708"/>
              <w:jc w:val="both"/>
              <w:rPr>
                <w:rFonts w:ascii="Lato" w:hAnsi="Lato"/>
                <w:sz w:val="18"/>
                <w:szCs w:val="18"/>
              </w:rPr>
            </w:pPr>
            <w:r w:rsidRPr="00DF44FD">
              <w:rPr>
                <w:rFonts w:ascii="Lato" w:hAnsi="Lato"/>
                <w:sz w:val="18"/>
                <w:szCs w:val="18"/>
              </w:rPr>
              <w:t xml:space="preserve">W  związku z przesłanym projektem </w:t>
            </w:r>
            <w:r w:rsidRPr="00DF44FD">
              <w:rPr>
                <w:rFonts w:ascii="Lato" w:hAnsi="Lato"/>
                <w:i/>
                <w:iCs/>
                <w:sz w:val="18"/>
                <w:szCs w:val="18"/>
              </w:rPr>
              <w:t>Rozporządzenia Ministra Zdrowia zmieniającego Rozporządzenie w sprawie warunków pobierania krwi od kandydatów na dawców krwi i dawców krwi (MZ 1530</w:t>
            </w:r>
            <w:r w:rsidRPr="00DF44FD">
              <w:rPr>
                <w:rFonts w:ascii="Lato" w:hAnsi="Lato"/>
                <w:sz w:val="18"/>
                <w:szCs w:val="18"/>
              </w:rPr>
              <w:t>), przesyłamy następujące uwagi:</w:t>
            </w:r>
          </w:p>
          <w:p w14:paraId="27DA5B6A" w14:textId="77777777" w:rsidR="00DF44FD" w:rsidRPr="00DF44FD" w:rsidRDefault="00DF44FD" w:rsidP="00DF44FD">
            <w:pPr>
              <w:pStyle w:val="NormalnyWeb"/>
              <w:spacing w:before="0" w:beforeAutospacing="0" w:after="240" w:afterAutospacing="0" w:line="276" w:lineRule="auto"/>
              <w:ind w:firstLine="708"/>
              <w:jc w:val="both"/>
              <w:rPr>
                <w:rFonts w:ascii="Lato" w:hAnsi="Lato"/>
                <w:b/>
                <w:bCs/>
                <w:sz w:val="18"/>
                <w:szCs w:val="18"/>
              </w:rPr>
            </w:pPr>
            <w:r w:rsidRPr="00DF44FD">
              <w:rPr>
                <w:rFonts w:ascii="Lato" w:hAnsi="Lato"/>
                <w:sz w:val="18"/>
                <w:szCs w:val="18"/>
              </w:rPr>
              <w:t xml:space="preserve">1. Z zadowoleniem należy odnotować projekt rozszerzenia możliwości przeprowadzania kwalifikacji dawców również na pielęgniarki z tytułem magistra. Jednakże, zwłaszcza w małych ośrodkach, odczuwalny jest deficyt pielęgniarek, zwłaszcza tych posiadających tytuł magistra. W związku z powyższym, prosimy o rozważenie wprowadzenia stosownych zmian (również na poziomie ustawy) </w:t>
            </w:r>
            <w:r w:rsidRPr="00DF44FD">
              <w:rPr>
                <w:rFonts w:ascii="Lato" w:hAnsi="Lato"/>
                <w:b/>
                <w:bCs/>
                <w:sz w:val="18"/>
                <w:szCs w:val="18"/>
              </w:rPr>
              <w:t>umożliwiających przeprowadzanie kwalifikowania dawców i pobierania krwi również przez pielęgniarki posiadające licencjat oraz ratowników medycznych.</w:t>
            </w:r>
          </w:p>
          <w:p w14:paraId="7EF1C161" w14:textId="6BFBC4A1" w:rsidR="00DF44FD" w:rsidRPr="00DF44FD" w:rsidRDefault="00DF44FD" w:rsidP="00DF44FD">
            <w:pPr>
              <w:spacing w:after="0"/>
              <w:jc w:val="both"/>
              <w:rPr>
                <w:rFonts w:ascii="Lato" w:hAnsi="Lato"/>
                <w:b/>
                <w:bCs/>
                <w:sz w:val="18"/>
                <w:szCs w:val="18"/>
              </w:rPr>
            </w:pPr>
            <w:r w:rsidRPr="00DF44FD">
              <w:rPr>
                <w:rFonts w:ascii="Lato" w:hAnsi="Lato"/>
                <w:sz w:val="18"/>
                <w:szCs w:val="18"/>
              </w:rPr>
              <w:tab/>
              <w:t xml:space="preserve">2. W związku z powyższym, widzimy konieczność nie tylko zmiany przedmiotowego Rozporządzenia, ale również </w:t>
            </w:r>
            <w:r w:rsidRPr="00DF44FD">
              <w:rPr>
                <w:rFonts w:ascii="Lato" w:hAnsi="Lato"/>
                <w:i/>
                <w:iCs/>
                <w:sz w:val="18"/>
                <w:szCs w:val="18"/>
              </w:rPr>
              <w:t>Ustawy z dnia 22 sierpnia 1997 r. o publicznej służbie krwi (</w:t>
            </w:r>
            <w:proofErr w:type="spellStart"/>
            <w:r w:rsidRPr="00DF44FD">
              <w:rPr>
                <w:rFonts w:ascii="Lato" w:hAnsi="Lato"/>
                <w:i/>
                <w:iCs/>
                <w:sz w:val="18"/>
                <w:szCs w:val="18"/>
              </w:rPr>
              <w:t>t.j</w:t>
            </w:r>
            <w:proofErr w:type="spellEnd"/>
            <w:r w:rsidRPr="00DF44FD">
              <w:rPr>
                <w:rFonts w:ascii="Lato" w:hAnsi="Lato"/>
                <w:i/>
                <w:iCs/>
                <w:sz w:val="18"/>
                <w:szCs w:val="18"/>
              </w:rPr>
              <w:t>. Dz. U. z 2023.0.318</w:t>
            </w:r>
            <w:r w:rsidRPr="00DF44FD">
              <w:rPr>
                <w:rFonts w:ascii="Lato" w:hAnsi="Lato"/>
                <w:sz w:val="18"/>
                <w:szCs w:val="18"/>
              </w:rPr>
              <w:t xml:space="preserve">), a także </w:t>
            </w:r>
            <w:r w:rsidRPr="00DF44FD">
              <w:rPr>
                <w:rFonts w:ascii="Lato" w:hAnsi="Lato"/>
                <w:i/>
                <w:iCs/>
                <w:sz w:val="18"/>
                <w:szCs w:val="18"/>
              </w:rPr>
              <w:t>Rozporządzenia Ministra Zdrowia z dnia 22 czerwca 2023 r. w sprawie medycznych czynności ratunkowych i świadczeń zdrowotnych innych niż medyczne czynności ratunkowe, które mogą być udzielane przez ratownika medycznego</w:t>
            </w:r>
            <w:r w:rsidRPr="00DF44FD">
              <w:rPr>
                <w:rFonts w:ascii="Lato" w:hAnsi="Lato"/>
                <w:sz w:val="18"/>
                <w:szCs w:val="18"/>
              </w:rPr>
              <w:t xml:space="preserve">, </w:t>
            </w:r>
            <w:r w:rsidRPr="00DF44FD">
              <w:rPr>
                <w:rFonts w:ascii="Lato" w:hAnsi="Lato"/>
                <w:b/>
                <w:bCs/>
                <w:sz w:val="18"/>
                <w:szCs w:val="18"/>
              </w:rPr>
              <w:t xml:space="preserve">gdzie w załączniku nr 3 określającego świadczenie zdrowotne inne niż medyczne czynności ratunkowe, które mogą być udzielane przez ratownika medycznego w pkt. 19 nadal widnieje zapis o pobieraniu krwi żylnej i włośniczkowej jedynie do </w:t>
            </w:r>
            <w:r w:rsidRPr="00DF44FD">
              <w:rPr>
                <w:rFonts w:ascii="Lato" w:hAnsi="Lato"/>
                <w:b/>
                <w:bCs/>
                <w:sz w:val="18"/>
                <w:szCs w:val="18"/>
                <w:u w:val="single"/>
              </w:rPr>
              <w:t>badań diagnostycznych</w:t>
            </w:r>
            <w:r w:rsidRPr="00DF44FD">
              <w:rPr>
                <w:rFonts w:ascii="Lato" w:hAnsi="Lato"/>
                <w:b/>
                <w:bCs/>
                <w:sz w:val="18"/>
                <w:szCs w:val="18"/>
              </w:rPr>
              <w:t>.</w:t>
            </w:r>
          </w:p>
          <w:p w14:paraId="1B949835" w14:textId="78B0D620" w:rsidR="00DF44FD" w:rsidRPr="00DF44FD" w:rsidRDefault="00DF44FD" w:rsidP="00DF44FD">
            <w:pPr>
              <w:ind w:firstLine="708"/>
              <w:jc w:val="both"/>
              <w:rPr>
                <w:rFonts w:ascii="Lato" w:hAnsi="Lato"/>
                <w:b/>
                <w:bCs/>
                <w:sz w:val="18"/>
                <w:szCs w:val="18"/>
              </w:rPr>
            </w:pPr>
            <w:r w:rsidRPr="00DF44FD">
              <w:rPr>
                <w:rFonts w:ascii="Lato" w:hAnsi="Lato"/>
                <w:b/>
                <w:bCs/>
                <w:sz w:val="18"/>
                <w:szCs w:val="18"/>
              </w:rPr>
              <w:t>W naszej ocenie, jedynie przeprowadzenie powyższych zmian w przepisach uchroni Służbę Krwi przed zapaścią, jaka czeka ją w obliczu deficytu lekarzy</w:t>
            </w:r>
            <w:r>
              <w:rPr>
                <w:rFonts w:ascii="Lato" w:hAnsi="Lato"/>
                <w:b/>
                <w:bCs/>
                <w:sz w:val="18"/>
                <w:szCs w:val="18"/>
              </w:rPr>
              <w:t xml:space="preserve"> </w:t>
            </w:r>
            <w:r w:rsidRPr="00DF44FD">
              <w:rPr>
                <w:rFonts w:ascii="Lato" w:hAnsi="Lato"/>
                <w:b/>
                <w:bCs/>
                <w:sz w:val="18"/>
                <w:szCs w:val="18"/>
              </w:rPr>
              <w:t>i pielęgniarek.</w:t>
            </w:r>
          </w:p>
          <w:p w14:paraId="2E9FE75F" w14:textId="77777777" w:rsidR="00DF44FD" w:rsidRPr="00DF44FD" w:rsidRDefault="00DF44FD" w:rsidP="00DF44FD">
            <w:pPr>
              <w:jc w:val="both"/>
              <w:rPr>
                <w:rFonts w:ascii="Lato" w:hAnsi="Lato" w:cs="Arial"/>
                <w:sz w:val="18"/>
                <w:szCs w:val="18"/>
              </w:rPr>
            </w:pPr>
          </w:p>
        </w:tc>
        <w:tc>
          <w:tcPr>
            <w:tcW w:w="3236" w:type="dxa"/>
            <w:tcBorders>
              <w:top w:val="single" w:sz="4" w:space="0" w:color="auto"/>
              <w:left w:val="single" w:sz="4" w:space="0" w:color="auto"/>
              <w:bottom w:val="single" w:sz="4" w:space="0" w:color="auto"/>
              <w:right w:val="single" w:sz="4" w:space="0" w:color="auto"/>
            </w:tcBorders>
          </w:tcPr>
          <w:p w14:paraId="477BF13E" w14:textId="77777777" w:rsidR="00DF44FD" w:rsidRPr="00DF44FD" w:rsidRDefault="00DF44FD" w:rsidP="00DF44FD">
            <w:pPr>
              <w:pStyle w:val="pf0"/>
              <w:rPr>
                <w:rFonts w:ascii="Lato" w:hAnsi="Lato" w:cs="Arial"/>
                <w:sz w:val="18"/>
                <w:szCs w:val="18"/>
              </w:rPr>
            </w:pPr>
            <w:r w:rsidRPr="00DF44FD">
              <w:rPr>
                <w:rStyle w:val="cf01"/>
                <w:rFonts w:ascii="Lato" w:hAnsi="Lato"/>
              </w:rPr>
              <w:t>Uwaga niezasadna</w:t>
            </w:r>
          </w:p>
          <w:p w14:paraId="78E2A72B" w14:textId="77777777" w:rsidR="00DF44FD" w:rsidRPr="00DF44FD" w:rsidRDefault="00DF44FD" w:rsidP="00DF44FD">
            <w:pPr>
              <w:pStyle w:val="pf0"/>
              <w:rPr>
                <w:rStyle w:val="cf01"/>
                <w:rFonts w:ascii="Lato" w:hAnsi="Lato" w:cs="Arial"/>
              </w:rPr>
            </w:pPr>
            <w:r w:rsidRPr="00DF44FD">
              <w:rPr>
                <w:rStyle w:val="cf01"/>
                <w:rFonts w:ascii="Lato" w:hAnsi="Lato"/>
              </w:rPr>
              <w:t xml:space="preserve">Zgodnie z art. 15 ustawy o publicznej służby krwi za dopuszczenie do pobierania krwi lub jej składników odpowiada lekarz albo pielęgniarka posiadająca tytuł magistra pielęgniarstwa, która przeprowadziła pod nadzorem lekarza, co najmniej 100 kwalifikacji dawców do oddania krwi lub jej składników. (Przyznanie prawa do kwalifikacji dawców krwi pielęgniarkom nastąpiło na podstawie ustawy z dnia 9 marca 2023 r. o </w:t>
            </w:r>
            <w:r w:rsidRPr="00DF44FD">
              <w:rPr>
                <w:rStyle w:val="cf01"/>
                <w:rFonts w:ascii="Lato" w:hAnsi="Lato" w:cs="Arial"/>
              </w:rPr>
              <w:t>Krajowej Sieci Onkologicznej).</w:t>
            </w:r>
          </w:p>
          <w:p w14:paraId="2A34200C" w14:textId="77777777" w:rsidR="00DF44FD" w:rsidRPr="00DF44FD" w:rsidRDefault="00DF44FD" w:rsidP="00DF44FD">
            <w:pPr>
              <w:pStyle w:val="pf0"/>
              <w:rPr>
                <w:rFonts w:ascii="Lato" w:hAnsi="Lato" w:cs="Arial"/>
                <w:sz w:val="18"/>
                <w:szCs w:val="18"/>
              </w:rPr>
            </w:pPr>
            <w:r w:rsidRPr="00DF44FD">
              <w:rPr>
                <w:rFonts w:ascii="Lato" w:hAnsi="Lato" w:cs="Arial"/>
                <w:sz w:val="18"/>
                <w:szCs w:val="18"/>
              </w:rPr>
              <w:t>Ad. 2 – Uwaga niezasadna</w:t>
            </w:r>
          </w:p>
          <w:p w14:paraId="2CBE36EA" w14:textId="77777777" w:rsidR="00DF44FD" w:rsidRPr="00DF44FD" w:rsidRDefault="00DF44FD" w:rsidP="00DF44FD">
            <w:pPr>
              <w:pStyle w:val="pf0"/>
              <w:rPr>
                <w:rFonts w:ascii="Lato" w:hAnsi="Lato" w:cs="Arial"/>
                <w:sz w:val="18"/>
                <w:szCs w:val="18"/>
              </w:rPr>
            </w:pPr>
            <w:r w:rsidRPr="00DF44FD">
              <w:rPr>
                <w:rFonts w:ascii="Lato" w:hAnsi="Lato" w:cs="Arial"/>
                <w:sz w:val="18"/>
                <w:szCs w:val="18"/>
              </w:rPr>
              <w:t>Postulowana zmiana wymaga zmiany ustawy o publicznej służbie krwi i wprowadzenia ewentualnych zmian w zakresie dopuszczenia pielęgniarek z licencjatem lub ratowników medycznych.</w:t>
            </w:r>
          </w:p>
          <w:p w14:paraId="184D7E96" w14:textId="77777777" w:rsidR="00DF44FD" w:rsidRPr="00DF44FD" w:rsidRDefault="00DF44FD" w:rsidP="00DF44FD">
            <w:pPr>
              <w:spacing w:line="240" w:lineRule="auto"/>
              <w:contextualSpacing/>
              <w:rPr>
                <w:rFonts w:ascii="Lato" w:hAnsi="Lato" w:cs="Arial"/>
                <w:b/>
                <w:sz w:val="18"/>
                <w:szCs w:val="18"/>
              </w:rPr>
            </w:pPr>
          </w:p>
        </w:tc>
      </w:tr>
      <w:tr w:rsidR="00DF44FD" w14:paraId="44433E9C" w14:textId="77777777" w:rsidTr="00DF44FD">
        <w:trPr>
          <w:trHeight w:val="276"/>
        </w:trPr>
        <w:tc>
          <w:tcPr>
            <w:tcW w:w="562" w:type="dxa"/>
            <w:tcBorders>
              <w:top w:val="single" w:sz="4" w:space="0" w:color="auto"/>
              <w:left w:val="single" w:sz="4" w:space="0" w:color="auto"/>
              <w:bottom w:val="single" w:sz="4" w:space="0" w:color="auto"/>
              <w:right w:val="single" w:sz="4" w:space="0" w:color="auto"/>
            </w:tcBorders>
            <w:vAlign w:val="center"/>
          </w:tcPr>
          <w:p w14:paraId="7BF5893B" w14:textId="77777777" w:rsidR="00DF44FD" w:rsidRPr="00DF44FD" w:rsidRDefault="00DF44FD" w:rsidP="00DF44FD">
            <w:pPr>
              <w:pStyle w:val="Akapitzlist"/>
              <w:numPr>
                <w:ilvl w:val="0"/>
                <w:numId w:val="21"/>
              </w:numPr>
              <w:spacing w:after="0" w:line="240" w:lineRule="auto"/>
              <w:jc w:val="center"/>
              <w:rPr>
                <w:rFonts w:ascii="Lato" w:hAnsi="Lato" w:cs="Arial"/>
                <w:b/>
                <w:noProof/>
                <w:sz w:val="18"/>
                <w:szCs w:val="18"/>
              </w:rPr>
            </w:pPr>
          </w:p>
        </w:tc>
        <w:tc>
          <w:tcPr>
            <w:tcW w:w="1986" w:type="dxa"/>
            <w:tcBorders>
              <w:top w:val="single" w:sz="4" w:space="0" w:color="auto"/>
              <w:left w:val="single" w:sz="4" w:space="0" w:color="auto"/>
              <w:bottom w:val="single" w:sz="4" w:space="0" w:color="auto"/>
              <w:right w:val="single" w:sz="4" w:space="0" w:color="auto"/>
            </w:tcBorders>
            <w:vAlign w:val="center"/>
            <w:hideMark/>
          </w:tcPr>
          <w:p w14:paraId="159E8410" w14:textId="77777777" w:rsidR="00DF44FD" w:rsidRPr="00DF44FD" w:rsidRDefault="00DF44FD" w:rsidP="00DF44FD">
            <w:pPr>
              <w:spacing w:line="240" w:lineRule="auto"/>
              <w:contextualSpacing/>
              <w:jc w:val="center"/>
              <w:rPr>
                <w:rFonts w:ascii="Lato" w:hAnsi="Lato" w:cs="Arial"/>
                <w:b/>
                <w:sz w:val="18"/>
                <w:szCs w:val="18"/>
              </w:rPr>
            </w:pPr>
            <w:proofErr w:type="spellStart"/>
            <w:r w:rsidRPr="00DF44FD">
              <w:rPr>
                <w:rFonts w:ascii="Lato" w:hAnsi="Lato" w:cs="Arial"/>
                <w:b/>
                <w:sz w:val="18"/>
                <w:szCs w:val="18"/>
              </w:rPr>
              <w:t>RCKiK</w:t>
            </w:r>
            <w:proofErr w:type="spellEnd"/>
            <w:r w:rsidRPr="00DF44FD">
              <w:rPr>
                <w:rFonts w:ascii="Lato" w:hAnsi="Lato" w:cs="Arial"/>
                <w:b/>
                <w:sz w:val="18"/>
                <w:szCs w:val="18"/>
              </w:rPr>
              <w:t xml:space="preserve"> Wałbrzych</w:t>
            </w:r>
          </w:p>
        </w:tc>
        <w:tc>
          <w:tcPr>
            <w:tcW w:w="864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2692"/>
              <w:gridCol w:w="3303"/>
            </w:tblGrid>
            <w:tr w:rsidR="00DF44FD" w:rsidRPr="00DF44FD" w14:paraId="4AF5E3AF" w14:textId="77777777" w:rsidTr="00F829FF">
              <w:trPr>
                <w:trHeight w:val="611"/>
              </w:trPr>
              <w:tc>
                <w:tcPr>
                  <w:tcW w:w="1336" w:type="dxa"/>
                  <w:tcBorders>
                    <w:top w:val="single" w:sz="4" w:space="0" w:color="auto"/>
                    <w:left w:val="single" w:sz="4" w:space="0" w:color="auto"/>
                    <w:bottom w:val="single" w:sz="4" w:space="0" w:color="auto"/>
                    <w:right w:val="single" w:sz="4" w:space="0" w:color="auto"/>
                  </w:tcBorders>
                  <w:hideMark/>
                </w:tcPr>
                <w:p w14:paraId="7D3D1561" w14:textId="77777777" w:rsidR="00DF44FD" w:rsidRPr="00DF44FD" w:rsidRDefault="00DF44FD" w:rsidP="00E2548E">
                  <w:pPr>
                    <w:framePr w:hSpace="141" w:wrap="around" w:vAnchor="page" w:hAnchor="margin" w:y="3861"/>
                    <w:spacing w:after="0"/>
                    <w:jc w:val="center"/>
                    <w:rPr>
                      <w:rFonts w:ascii="Lato" w:hAnsi="Lato"/>
                      <w:sz w:val="18"/>
                      <w:szCs w:val="18"/>
                      <w:lang w:eastAsia="ar-SA"/>
                    </w:rPr>
                  </w:pPr>
                  <w:r w:rsidRPr="00DF44FD">
                    <w:rPr>
                      <w:rFonts w:ascii="Lato" w:hAnsi="Lato"/>
                      <w:sz w:val="18"/>
                      <w:szCs w:val="18"/>
                    </w:rPr>
                    <w:t>Zapis rozporządzenia</w:t>
                  </w:r>
                </w:p>
              </w:tc>
              <w:tc>
                <w:tcPr>
                  <w:tcW w:w="2692" w:type="dxa"/>
                  <w:tcBorders>
                    <w:top w:val="single" w:sz="4" w:space="0" w:color="auto"/>
                    <w:left w:val="single" w:sz="4" w:space="0" w:color="auto"/>
                    <w:bottom w:val="single" w:sz="4" w:space="0" w:color="auto"/>
                    <w:right w:val="single" w:sz="4" w:space="0" w:color="auto"/>
                  </w:tcBorders>
                  <w:hideMark/>
                </w:tcPr>
                <w:p w14:paraId="2B6A1397" w14:textId="77777777" w:rsidR="00DF44FD" w:rsidRPr="00DF44FD" w:rsidRDefault="00DF44FD" w:rsidP="00E2548E">
                  <w:pPr>
                    <w:framePr w:hSpace="141" w:wrap="around" w:vAnchor="page" w:hAnchor="margin" w:y="3861"/>
                    <w:spacing w:after="0"/>
                    <w:jc w:val="center"/>
                    <w:rPr>
                      <w:rFonts w:ascii="Lato" w:hAnsi="Lato"/>
                      <w:sz w:val="18"/>
                      <w:szCs w:val="18"/>
                    </w:rPr>
                  </w:pPr>
                  <w:r w:rsidRPr="00DF44FD">
                    <w:rPr>
                      <w:rFonts w:ascii="Lato" w:hAnsi="Lato"/>
                      <w:sz w:val="18"/>
                      <w:szCs w:val="18"/>
                    </w:rPr>
                    <w:t>Proponowane brzmienie</w:t>
                  </w:r>
                </w:p>
              </w:tc>
              <w:tc>
                <w:tcPr>
                  <w:tcW w:w="3303" w:type="dxa"/>
                  <w:tcBorders>
                    <w:top w:val="single" w:sz="4" w:space="0" w:color="auto"/>
                    <w:left w:val="single" w:sz="4" w:space="0" w:color="auto"/>
                    <w:bottom w:val="single" w:sz="4" w:space="0" w:color="auto"/>
                    <w:right w:val="single" w:sz="4" w:space="0" w:color="auto"/>
                  </w:tcBorders>
                  <w:hideMark/>
                </w:tcPr>
                <w:p w14:paraId="1F7E4A52" w14:textId="77777777" w:rsidR="00DF44FD" w:rsidRPr="00DF44FD" w:rsidRDefault="00DF44FD" w:rsidP="00E2548E">
                  <w:pPr>
                    <w:framePr w:hSpace="141" w:wrap="around" w:vAnchor="page" w:hAnchor="margin" w:y="3861"/>
                    <w:spacing w:after="0"/>
                    <w:jc w:val="center"/>
                    <w:rPr>
                      <w:rFonts w:ascii="Lato" w:hAnsi="Lato"/>
                      <w:sz w:val="18"/>
                      <w:szCs w:val="18"/>
                    </w:rPr>
                  </w:pPr>
                  <w:r w:rsidRPr="00DF44FD">
                    <w:rPr>
                      <w:rFonts w:ascii="Lato" w:hAnsi="Lato"/>
                      <w:sz w:val="18"/>
                      <w:szCs w:val="18"/>
                    </w:rPr>
                    <w:t>Uzasadnienie</w:t>
                  </w:r>
                </w:p>
              </w:tc>
            </w:tr>
            <w:tr w:rsidR="00DF44FD" w:rsidRPr="00DF44FD" w14:paraId="317593FC" w14:textId="77777777" w:rsidTr="00F829FF">
              <w:trPr>
                <w:trHeight w:val="1232"/>
              </w:trPr>
              <w:tc>
                <w:tcPr>
                  <w:tcW w:w="1336" w:type="dxa"/>
                  <w:tcBorders>
                    <w:top w:val="single" w:sz="4" w:space="0" w:color="auto"/>
                    <w:left w:val="single" w:sz="4" w:space="0" w:color="auto"/>
                    <w:bottom w:val="single" w:sz="4" w:space="0" w:color="auto"/>
                    <w:right w:val="single" w:sz="4" w:space="0" w:color="auto"/>
                  </w:tcBorders>
                  <w:hideMark/>
                </w:tcPr>
                <w:p w14:paraId="562C9DBE" w14:textId="77777777" w:rsidR="00DF44FD" w:rsidRPr="00DF44FD" w:rsidRDefault="00DF44FD" w:rsidP="00E2548E">
                  <w:pPr>
                    <w:framePr w:hSpace="141" w:wrap="around" w:vAnchor="page" w:hAnchor="margin" w:y="3861"/>
                    <w:spacing w:after="0"/>
                    <w:jc w:val="both"/>
                    <w:rPr>
                      <w:rFonts w:ascii="Lato" w:hAnsi="Lato"/>
                      <w:sz w:val="18"/>
                      <w:szCs w:val="18"/>
                    </w:rPr>
                  </w:pPr>
                  <w:r w:rsidRPr="00DF44FD">
                    <w:rPr>
                      <w:rFonts w:ascii="Lato" w:hAnsi="Lato"/>
                      <w:sz w:val="18"/>
                      <w:szCs w:val="18"/>
                    </w:rPr>
                    <w:t>ust. 4 pkt 4</w:t>
                  </w:r>
                </w:p>
              </w:tc>
              <w:tc>
                <w:tcPr>
                  <w:tcW w:w="2692" w:type="dxa"/>
                  <w:tcBorders>
                    <w:top w:val="single" w:sz="4" w:space="0" w:color="auto"/>
                    <w:left w:val="single" w:sz="4" w:space="0" w:color="auto"/>
                    <w:bottom w:val="single" w:sz="4" w:space="0" w:color="auto"/>
                    <w:right w:val="single" w:sz="4" w:space="0" w:color="auto"/>
                  </w:tcBorders>
                  <w:hideMark/>
                </w:tcPr>
                <w:p w14:paraId="08AC74D1" w14:textId="77777777" w:rsidR="00DF44FD" w:rsidRPr="00DF44FD" w:rsidRDefault="00DF44FD" w:rsidP="00E2548E">
                  <w:pPr>
                    <w:framePr w:hSpace="141" w:wrap="around" w:vAnchor="page" w:hAnchor="margin" w:y="3861"/>
                    <w:spacing w:after="0"/>
                    <w:jc w:val="both"/>
                    <w:rPr>
                      <w:rFonts w:ascii="Lato" w:hAnsi="Lato"/>
                      <w:sz w:val="18"/>
                      <w:szCs w:val="18"/>
                    </w:rPr>
                  </w:pPr>
                  <w:r w:rsidRPr="00DF44FD">
                    <w:rPr>
                      <w:rFonts w:ascii="Lato" w:hAnsi="Lato"/>
                      <w:sz w:val="18"/>
                      <w:szCs w:val="18"/>
                    </w:rPr>
                    <w:t>Określenie stanu węzłów chłonnych i skóry, w tym w okolicach miejsca wkłucia do żyły</w:t>
                  </w:r>
                </w:p>
              </w:tc>
              <w:tc>
                <w:tcPr>
                  <w:tcW w:w="3303" w:type="dxa"/>
                  <w:tcBorders>
                    <w:top w:val="single" w:sz="4" w:space="0" w:color="auto"/>
                    <w:left w:val="single" w:sz="4" w:space="0" w:color="auto"/>
                    <w:bottom w:val="single" w:sz="4" w:space="0" w:color="auto"/>
                    <w:right w:val="single" w:sz="4" w:space="0" w:color="auto"/>
                  </w:tcBorders>
                  <w:hideMark/>
                </w:tcPr>
                <w:p w14:paraId="5B0A33E4" w14:textId="77777777" w:rsidR="00DF44FD" w:rsidRPr="00DF44FD" w:rsidRDefault="00DF44FD" w:rsidP="00E2548E">
                  <w:pPr>
                    <w:framePr w:hSpace="141" w:wrap="around" w:vAnchor="page" w:hAnchor="margin" w:y="3861"/>
                    <w:spacing w:after="0"/>
                    <w:jc w:val="both"/>
                    <w:rPr>
                      <w:rFonts w:ascii="Lato" w:hAnsi="Lato"/>
                      <w:sz w:val="18"/>
                      <w:szCs w:val="18"/>
                    </w:rPr>
                  </w:pPr>
                  <w:r w:rsidRPr="00DF44FD">
                    <w:rPr>
                      <w:rFonts w:ascii="Lato" w:hAnsi="Lato"/>
                      <w:sz w:val="18"/>
                      <w:szCs w:val="18"/>
                    </w:rPr>
                    <w:t>Zasadnym jest przywrócenie oceny węzłów chłonnych, jako istotnego elementu w ocenie stanu zdrowia dawcy</w:t>
                  </w:r>
                </w:p>
              </w:tc>
            </w:tr>
            <w:tr w:rsidR="00DF44FD" w:rsidRPr="00DF44FD" w14:paraId="339EED2A" w14:textId="77777777" w:rsidTr="00F829FF">
              <w:trPr>
                <w:trHeight w:val="1232"/>
              </w:trPr>
              <w:tc>
                <w:tcPr>
                  <w:tcW w:w="1336" w:type="dxa"/>
                  <w:tcBorders>
                    <w:top w:val="single" w:sz="4" w:space="0" w:color="auto"/>
                    <w:left w:val="single" w:sz="4" w:space="0" w:color="auto"/>
                    <w:bottom w:val="single" w:sz="4" w:space="0" w:color="auto"/>
                    <w:right w:val="single" w:sz="4" w:space="0" w:color="auto"/>
                  </w:tcBorders>
                  <w:hideMark/>
                </w:tcPr>
                <w:p w14:paraId="06BB0271" w14:textId="77777777" w:rsidR="00DF44FD" w:rsidRPr="00DF44FD" w:rsidRDefault="00DF44FD" w:rsidP="00E2548E">
                  <w:pPr>
                    <w:framePr w:hSpace="141" w:wrap="around" w:vAnchor="page" w:hAnchor="margin" w:y="3861"/>
                    <w:spacing w:after="0"/>
                    <w:jc w:val="both"/>
                    <w:rPr>
                      <w:rFonts w:ascii="Lato" w:hAnsi="Lato"/>
                      <w:sz w:val="18"/>
                      <w:szCs w:val="18"/>
                    </w:rPr>
                  </w:pPr>
                  <w:r w:rsidRPr="00DF44FD">
                    <w:rPr>
                      <w:rFonts w:ascii="Lato" w:hAnsi="Lato"/>
                      <w:sz w:val="18"/>
                      <w:szCs w:val="18"/>
                    </w:rPr>
                    <w:t>załącznik nr 2 pkt 1.1.</w:t>
                  </w:r>
                </w:p>
              </w:tc>
              <w:tc>
                <w:tcPr>
                  <w:tcW w:w="2692" w:type="dxa"/>
                  <w:tcBorders>
                    <w:top w:val="single" w:sz="4" w:space="0" w:color="auto"/>
                    <w:left w:val="single" w:sz="4" w:space="0" w:color="auto"/>
                    <w:bottom w:val="single" w:sz="4" w:space="0" w:color="auto"/>
                    <w:right w:val="single" w:sz="4" w:space="0" w:color="auto"/>
                  </w:tcBorders>
                  <w:hideMark/>
                </w:tcPr>
                <w:p w14:paraId="4F595F00" w14:textId="77777777" w:rsidR="00DF44FD" w:rsidRPr="00DF44FD" w:rsidRDefault="00DF44FD" w:rsidP="00E2548E">
                  <w:pPr>
                    <w:framePr w:hSpace="141" w:wrap="around" w:vAnchor="page" w:hAnchor="margin" w:y="3861"/>
                    <w:spacing w:after="0"/>
                    <w:jc w:val="both"/>
                    <w:rPr>
                      <w:rFonts w:ascii="Lato" w:hAnsi="Lato"/>
                      <w:sz w:val="18"/>
                      <w:szCs w:val="18"/>
                    </w:rPr>
                  </w:pPr>
                  <w:r w:rsidRPr="00DF44FD">
                    <w:rPr>
                      <w:rFonts w:ascii="Lato" w:hAnsi="Lato"/>
                      <w:sz w:val="18"/>
                      <w:szCs w:val="18"/>
                    </w:rPr>
                    <w:t>Wartość ciśnienia tętniczego nie powinna przekraczać:</w:t>
                  </w:r>
                </w:p>
                <w:p w14:paraId="329E5473" w14:textId="77777777" w:rsidR="00DF44FD" w:rsidRPr="00DF44FD" w:rsidRDefault="00DF44FD" w:rsidP="00E2548E">
                  <w:pPr>
                    <w:framePr w:hSpace="141" w:wrap="around" w:vAnchor="page" w:hAnchor="margin" w:y="3861"/>
                    <w:spacing w:after="0"/>
                    <w:jc w:val="both"/>
                    <w:rPr>
                      <w:rFonts w:ascii="Lato" w:hAnsi="Lato"/>
                      <w:sz w:val="18"/>
                      <w:szCs w:val="18"/>
                    </w:rPr>
                  </w:pPr>
                  <w:r w:rsidRPr="00DF44FD">
                    <w:rPr>
                      <w:rFonts w:ascii="Lato" w:hAnsi="Lato"/>
                      <w:sz w:val="18"/>
                      <w:szCs w:val="18"/>
                    </w:rPr>
                    <w:t>180 mm Hg dla ciśnienia skurczowego</w:t>
                  </w:r>
                </w:p>
                <w:p w14:paraId="7F1A8442" w14:textId="77777777" w:rsidR="00DF44FD" w:rsidRPr="00DF44FD" w:rsidRDefault="00DF44FD" w:rsidP="00E2548E">
                  <w:pPr>
                    <w:framePr w:hSpace="141" w:wrap="around" w:vAnchor="page" w:hAnchor="margin" w:y="3861"/>
                    <w:spacing w:after="0"/>
                    <w:jc w:val="both"/>
                    <w:rPr>
                      <w:rFonts w:ascii="Lato" w:hAnsi="Lato"/>
                      <w:sz w:val="18"/>
                      <w:szCs w:val="18"/>
                    </w:rPr>
                  </w:pPr>
                  <w:r w:rsidRPr="00DF44FD">
                    <w:rPr>
                      <w:rFonts w:ascii="Lato" w:hAnsi="Lato"/>
                      <w:sz w:val="18"/>
                      <w:szCs w:val="18"/>
                    </w:rPr>
                    <w:t>100 mm Hg dla ciśnienia rozkurczowego</w:t>
                  </w:r>
                </w:p>
              </w:tc>
              <w:tc>
                <w:tcPr>
                  <w:tcW w:w="3303" w:type="dxa"/>
                  <w:tcBorders>
                    <w:top w:val="single" w:sz="4" w:space="0" w:color="auto"/>
                    <w:left w:val="single" w:sz="4" w:space="0" w:color="auto"/>
                    <w:bottom w:val="single" w:sz="4" w:space="0" w:color="auto"/>
                    <w:right w:val="single" w:sz="4" w:space="0" w:color="auto"/>
                  </w:tcBorders>
                  <w:hideMark/>
                </w:tcPr>
                <w:p w14:paraId="3750D8EE" w14:textId="77777777" w:rsidR="00DF44FD" w:rsidRPr="00DF44FD" w:rsidRDefault="00DF44FD" w:rsidP="00E2548E">
                  <w:pPr>
                    <w:framePr w:hSpace="141" w:wrap="around" w:vAnchor="page" w:hAnchor="margin" w:y="3861"/>
                    <w:spacing w:after="0"/>
                    <w:jc w:val="both"/>
                    <w:rPr>
                      <w:rFonts w:ascii="Lato" w:hAnsi="Lato"/>
                      <w:sz w:val="18"/>
                      <w:szCs w:val="18"/>
                    </w:rPr>
                  </w:pPr>
                  <w:r w:rsidRPr="00DF44FD">
                    <w:rPr>
                      <w:rFonts w:ascii="Lato" w:hAnsi="Lato"/>
                      <w:sz w:val="18"/>
                      <w:szCs w:val="18"/>
                    </w:rPr>
                    <w:t>Wartość ciśnienia skurczowego do 180 mm Hg jest akceptowane przy zastosowaniu u pacjentów znieczulenia ogólnego, co jest procedurą bardziej obciążającą dla organizmu, niż oddanie 450 ml krwi pełnej. Zapis w projekcie jest krzywdzący dla dawców i kandydatów na dawców z zespołem białego fartucha.</w:t>
                  </w:r>
                </w:p>
              </w:tc>
            </w:tr>
            <w:tr w:rsidR="00DF44FD" w:rsidRPr="00DF44FD" w14:paraId="69DC33F8" w14:textId="77777777" w:rsidTr="00F829FF">
              <w:trPr>
                <w:trHeight w:val="1533"/>
              </w:trPr>
              <w:tc>
                <w:tcPr>
                  <w:tcW w:w="1336" w:type="dxa"/>
                  <w:tcBorders>
                    <w:top w:val="single" w:sz="4" w:space="0" w:color="auto"/>
                    <w:left w:val="single" w:sz="4" w:space="0" w:color="auto"/>
                    <w:bottom w:val="single" w:sz="4" w:space="0" w:color="auto"/>
                    <w:right w:val="single" w:sz="4" w:space="0" w:color="auto"/>
                  </w:tcBorders>
                  <w:hideMark/>
                </w:tcPr>
                <w:p w14:paraId="72FD41C4" w14:textId="77777777" w:rsidR="00DF44FD" w:rsidRPr="00DF44FD" w:rsidRDefault="00DF44FD" w:rsidP="00E2548E">
                  <w:pPr>
                    <w:framePr w:hSpace="141" w:wrap="around" w:vAnchor="page" w:hAnchor="margin" w:y="3861"/>
                    <w:spacing w:after="0"/>
                    <w:jc w:val="both"/>
                    <w:rPr>
                      <w:rFonts w:ascii="Lato" w:hAnsi="Lato"/>
                      <w:sz w:val="18"/>
                      <w:szCs w:val="18"/>
                    </w:rPr>
                  </w:pPr>
                  <w:r w:rsidRPr="00DF44FD">
                    <w:rPr>
                      <w:rFonts w:ascii="Lato" w:hAnsi="Lato"/>
                      <w:sz w:val="18"/>
                      <w:szCs w:val="18"/>
                    </w:rPr>
                    <w:t>załącznik nr 2 pkt 2.2.1. lp. 11 kolumna 3</w:t>
                  </w:r>
                </w:p>
              </w:tc>
              <w:tc>
                <w:tcPr>
                  <w:tcW w:w="2692" w:type="dxa"/>
                  <w:tcBorders>
                    <w:top w:val="single" w:sz="4" w:space="0" w:color="auto"/>
                    <w:left w:val="single" w:sz="4" w:space="0" w:color="auto"/>
                    <w:bottom w:val="single" w:sz="4" w:space="0" w:color="auto"/>
                    <w:right w:val="single" w:sz="4" w:space="0" w:color="auto"/>
                  </w:tcBorders>
                  <w:hideMark/>
                </w:tcPr>
                <w:p w14:paraId="78D0F06A" w14:textId="77777777" w:rsidR="00DF44FD" w:rsidRPr="00DF44FD" w:rsidRDefault="00DF44FD" w:rsidP="00E2548E">
                  <w:pPr>
                    <w:framePr w:hSpace="141" w:wrap="around" w:vAnchor="page" w:hAnchor="margin" w:y="3861"/>
                    <w:spacing w:after="0"/>
                    <w:jc w:val="both"/>
                    <w:rPr>
                      <w:rFonts w:ascii="Lato" w:hAnsi="Lato"/>
                      <w:sz w:val="18"/>
                      <w:szCs w:val="18"/>
                    </w:rPr>
                  </w:pPr>
                  <w:r w:rsidRPr="00DF44FD">
                    <w:rPr>
                      <w:rFonts w:ascii="Lato" w:hAnsi="Lato"/>
                      <w:sz w:val="18"/>
                      <w:szCs w:val="18"/>
                    </w:rPr>
                    <w:t>Okres choroby oraz 4 miesiące od dnia wyleczenia potwierdzonego … (badaniem, zaświadczeniem??)</w:t>
                  </w:r>
                </w:p>
              </w:tc>
              <w:tc>
                <w:tcPr>
                  <w:tcW w:w="3303" w:type="dxa"/>
                  <w:tcBorders>
                    <w:top w:val="single" w:sz="4" w:space="0" w:color="auto"/>
                    <w:left w:val="single" w:sz="4" w:space="0" w:color="auto"/>
                    <w:bottom w:val="single" w:sz="4" w:space="0" w:color="auto"/>
                    <w:right w:val="single" w:sz="4" w:space="0" w:color="auto"/>
                  </w:tcBorders>
                  <w:hideMark/>
                </w:tcPr>
                <w:p w14:paraId="02A40839" w14:textId="77777777" w:rsidR="00DF44FD" w:rsidRPr="00DF44FD" w:rsidRDefault="00DF44FD" w:rsidP="00E2548E">
                  <w:pPr>
                    <w:framePr w:hSpace="141" w:wrap="around" w:vAnchor="page" w:hAnchor="margin" w:y="3861"/>
                    <w:spacing w:after="0"/>
                    <w:jc w:val="both"/>
                    <w:rPr>
                      <w:rFonts w:ascii="Lato" w:hAnsi="Lato"/>
                      <w:sz w:val="18"/>
                      <w:szCs w:val="18"/>
                    </w:rPr>
                  </w:pPr>
                  <w:r w:rsidRPr="00DF44FD">
                    <w:rPr>
                      <w:rFonts w:ascii="Lato" w:hAnsi="Lato"/>
                      <w:sz w:val="18"/>
                      <w:szCs w:val="18"/>
                    </w:rPr>
                    <w:t>Konieczność doprecyzowania zapisu o wytyczne, jak określić, czy dawca lub kandydat na dawcę został wyleczony – badanie laboratoryjne / zaświadczenie od specjalisty?</w:t>
                  </w:r>
                </w:p>
              </w:tc>
            </w:tr>
            <w:tr w:rsidR="00DF44FD" w:rsidRPr="00DF44FD" w14:paraId="67D82C65" w14:textId="77777777" w:rsidTr="00F829FF">
              <w:trPr>
                <w:trHeight w:val="2465"/>
              </w:trPr>
              <w:tc>
                <w:tcPr>
                  <w:tcW w:w="1336" w:type="dxa"/>
                  <w:tcBorders>
                    <w:top w:val="single" w:sz="4" w:space="0" w:color="auto"/>
                    <w:left w:val="single" w:sz="4" w:space="0" w:color="auto"/>
                    <w:bottom w:val="single" w:sz="4" w:space="0" w:color="auto"/>
                    <w:right w:val="single" w:sz="4" w:space="0" w:color="auto"/>
                  </w:tcBorders>
                  <w:hideMark/>
                </w:tcPr>
                <w:p w14:paraId="3FC292F4" w14:textId="77777777" w:rsidR="00DF44FD" w:rsidRPr="00DF44FD" w:rsidRDefault="00DF44FD" w:rsidP="00E2548E">
                  <w:pPr>
                    <w:framePr w:hSpace="141" w:wrap="around" w:vAnchor="page" w:hAnchor="margin" w:y="3861"/>
                    <w:spacing w:after="0"/>
                    <w:jc w:val="both"/>
                    <w:rPr>
                      <w:rFonts w:ascii="Lato" w:hAnsi="Lato"/>
                      <w:sz w:val="18"/>
                      <w:szCs w:val="18"/>
                    </w:rPr>
                  </w:pPr>
                  <w:r w:rsidRPr="00DF44FD">
                    <w:rPr>
                      <w:rFonts w:ascii="Lato" w:hAnsi="Lato"/>
                      <w:sz w:val="18"/>
                      <w:szCs w:val="18"/>
                    </w:rPr>
                    <w:t>załącznik nr 2 pkt 2.2.4. lp. 2</w:t>
                  </w:r>
                </w:p>
              </w:tc>
              <w:tc>
                <w:tcPr>
                  <w:tcW w:w="2692" w:type="dxa"/>
                  <w:tcBorders>
                    <w:top w:val="single" w:sz="4" w:space="0" w:color="auto"/>
                    <w:left w:val="single" w:sz="4" w:space="0" w:color="auto"/>
                    <w:bottom w:val="single" w:sz="4" w:space="0" w:color="auto"/>
                    <w:right w:val="single" w:sz="4" w:space="0" w:color="auto"/>
                  </w:tcBorders>
                  <w:hideMark/>
                </w:tcPr>
                <w:p w14:paraId="268C6DAA" w14:textId="77777777" w:rsidR="00DF44FD" w:rsidRPr="00DF44FD" w:rsidRDefault="00DF44FD" w:rsidP="00E2548E">
                  <w:pPr>
                    <w:framePr w:hSpace="141" w:wrap="around" w:vAnchor="page" w:hAnchor="margin" w:y="3861"/>
                    <w:spacing w:after="0"/>
                    <w:jc w:val="both"/>
                    <w:rPr>
                      <w:rFonts w:ascii="Lato" w:hAnsi="Lato"/>
                      <w:sz w:val="18"/>
                      <w:szCs w:val="18"/>
                    </w:rPr>
                  </w:pPr>
                  <w:r w:rsidRPr="00DF44FD">
                    <w:rPr>
                      <w:rFonts w:ascii="Lato" w:hAnsi="Lato"/>
                      <w:sz w:val="18"/>
                      <w:szCs w:val="18"/>
                    </w:rPr>
                    <w:t>Miesiączka – 3 dni po zakończeniu.</w:t>
                  </w:r>
                </w:p>
              </w:tc>
              <w:tc>
                <w:tcPr>
                  <w:tcW w:w="3303" w:type="dxa"/>
                  <w:tcBorders>
                    <w:top w:val="single" w:sz="4" w:space="0" w:color="auto"/>
                    <w:left w:val="single" w:sz="4" w:space="0" w:color="auto"/>
                    <w:bottom w:val="single" w:sz="4" w:space="0" w:color="auto"/>
                    <w:right w:val="single" w:sz="4" w:space="0" w:color="auto"/>
                  </w:tcBorders>
                  <w:hideMark/>
                </w:tcPr>
                <w:p w14:paraId="7457D01F" w14:textId="77777777" w:rsidR="00DF44FD" w:rsidRPr="00DF44FD" w:rsidRDefault="00DF44FD" w:rsidP="00E2548E">
                  <w:pPr>
                    <w:framePr w:hSpace="141" w:wrap="around" w:vAnchor="page" w:hAnchor="margin" w:y="3861"/>
                    <w:spacing w:after="0"/>
                    <w:jc w:val="both"/>
                    <w:rPr>
                      <w:rFonts w:ascii="Lato" w:hAnsi="Lato"/>
                      <w:sz w:val="18"/>
                      <w:szCs w:val="18"/>
                    </w:rPr>
                  </w:pPr>
                  <w:r w:rsidRPr="00DF44FD">
                    <w:rPr>
                      <w:rFonts w:ascii="Lato" w:hAnsi="Lato"/>
                      <w:sz w:val="18"/>
                      <w:szCs w:val="18"/>
                    </w:rPr>
                    <w:t>Zasadnym jest przywrócenie zapisu o dyskwalifikacji dawczyń lub kandydatek na dawczynie przez okres 3 dni po zakończeniu miesiączki, która wiąże się obciążeniem organizmu w związku z utratą krwi, szczególnie przy obfitych krwawieniach miesięcznych</w:t>
                  </w:r>
                </w:p>
              </w:tc>
            </w:tr>
          </w:tbl>
          <w:p w14:paraId="6B2C17B3" w14:textId="77777777" w:rsidR="00DF44FD" w:rsidRPr="00DF44FD" w:rsidRDefault="00DF44FD" w:rsidP="00DF44FD">
            <w:pPr>
              <w:spacing w:after="0" w:line="240" w:lineRule="auto"/>
              <w:jc w:val="both"/>
              <w:rPr>
                <w:rFonts w:ascii="Lato" w:hAnsi="Lato" w:cs="Arial"/>
                <w:sz w:val="18"/>
                <w:szCs w:val="18"/>
              </w:rPr>
            </w:pPr>
          </w:p>
        </w:tc>
        <w:tc>
          <w:tcPr>
            <w:tcW w:w="3236" w:type="dxa"/>
            <w:tcBorders>
              <w:top w:val="single" w:sz="4" w:space="0" w:color="auto"/>
              <w:left w:val="single" w:sz="4" w:space="0" w:color="auto"/>
              <w:bottom w:val="single" w:sz="4" w:space="0" w:color="auto"/>
              <w:right w:val="single" w:sz="4" w:space="0" w:color="auto"/>
            </w:tcBorders>
          </w:tcPr>
          <w:p w14:paraId="15961548" w14:textId="77777777" w:rsidR="00DF44FD" w:rsidRPr="00DF44FD" w:rsidRDefault="00DF44FD" w:rsidP="00DF44FD">
            <w:pPr>
              <w:spacing w:line="240" w:lineRule="auto"/>
              <w:contextualSpacing/>
              <w:rPr>
                <w:rFonts w:ascii="Lato" w:hAnsi="Lato" w:cs="Arial"/>
                <w:sz w:val="18"/>
                <w:szCs w:val="18"/>
              </w:rPr>
            </w:pPr>
            <w:r w:rsidRPr="00DF44FD">
              <w:rPr>
                <w:rFonts w:ascii="Lato" w:hAnsi="Lato" w:cs="Arial"/>
                <w:sz w:val="18"/>
                <w:szCs w:val="18"/>
              </w:rPr>
              <w:t xml:space="preserve">Uwaga niezasadna </w:t>
            </w:r>
          </w:p>
          <w:p w14:paraId="39BB2A52" w14:textId="77777777" w:rsidR="00DF44FD" w:rsidRPr="00DF44FD" w:rsidRDefault="00DF44FD" w:rsidP="00DF44FD">
            <w:pPr>
              <w:spacing w:line="240" w:lineRule="auto"/>
              <w:contextualSpacing/>
              <w:rPr>
                <w:rFonts w:ascii="Lato" w:hAnsi="Lato" w:cs="Arial"/>
                <w:sz w:val="18"/>
                <w:szCs w:val="18"/>
              </w:rPr>
            </w:pPr>
            <w:r w:rsidRPr="00DF44FD">
              <w:rPr>
                <w:rFonts w:ascii="Lato" w:hAnsi="Lato" w:cs="Arial"/>
                <w:sz w:val="18"/>
                <w:szCs w:val="18"/>
              </w:rPr>
              <w:t>Dyrektywa nie wymaga badania węzłów chłonnych; w przypadkach wątpliwych osoba kwalifikująca może dokonać oceny stanu węzłów chłonnych.</w:t>
            </w:r>
          </w:p>
          <w:p w14:paraId="5C536A59" w14:textId="77777777" w:rsidR="00DF44FD" w:rsidRPr="00DF44FD" w:rsidRDefault="00DF44FD" w:rsidP="00DF44FD">
            <w:pPr>
              <w:spacing w:line="240" w:lineRule="auto"/>
              <w:contextualSpacing/>
              <w:rPr>
                <w:rFonts w:ascii="Lato" w:hAnsi="Lato" w:cs="Arial"/>
                <w:sz w:val="18"/>
                <w:szCs w:val="18"/>
              </w:rPr>
            </w:pPr>
          </w:p>
          <w:p w14:paraId="0723BB04" w14:textId="77777777" w:rsidR="00DF44FD" w:rsidRPr="00DF44FD" w:rsidRDefault="00DF44FD" w:rsidP="00DF44FD">
            <w:pPr>
              <w:spacing w:line="240" w:lineRule="auto"/>
              <w:contextualSpacing/>
              <w:rPr>
                <w:rFonts w:ascii="Lato" w:hAnsi="Lato" w:cs="Arial"/>
                <w:sz w:val="18"/>
                <w:szCs w:val="18"/>
              </w:rPr>
            </w:pPr>
          </w:p>
          <w:p w14:paraId="00CA4466" w14:textId="77777777" w:rsidR="00DF44FD" w:rsidRPr="00DF44FD" w:rsidRDefault="00DF44FD" w:rsidP="00DF44FD">
            <w:pPr>
              <w:spacing w:line="240" w:lineRule="auto"/>
              <w:contextualSpacing/>
              <w:rPr>
                <w:rFonts w:ascii="Lato" w:hAnsi="Lato" w:cs="Arial"/>
                <w:sz w:val="18"/>
                <w:szCs w:val="18"/>
              </w:rPr>
            </w:pPr>
          </w:p>
          <w:p w14:paraId="6AAEBC84" w14:textId="77777777" w:rsidR="00DF44FD" w:rsidRPr="00DF44FD" w:rsidRDefault="00DF44FD" w:rsidP="00DF44FD">
            <w:pPr>
              <w:spacing w:line="240" w:lineRule="auto"/>
              <w:contextualSpacing/>
              <w:rPr>
                <w:rFonts w:ascii="Lato" w:hAnsi="Lato" w:cs="Arial"/>
                <w:sz w:val="18"/>
                <w:szCs w:val="18"/>
              </w:rPr>
            </w:pPr>
          </w:p>
          <w:p w14:paraId="4C830E63" w14:textId="77777777" w:rsidR="00DF44FD" w:rsidRPr="00DF44FD" w:rsidRDefault="00DF44FD" w:rsidP="00DF44FD">
            <w:pPr>
              <w:spacing w:line="240" w:lineRule="auto"/>
              <w:contextualSpacing/>
              <w:rPr>
                <w:rFonts w:ascii="Lato" w:hAnsi="Lato" w:cs="Arial"/>
                <w:sz w:val="18"/>
                <w:szCs w:val="18"/>
              </w:rPr>
            </w:pPr>
            <w:r w:rsidRPr="00DF44FD">
              <w:rPr>
                <w:rFonts w:ascii="Lato" w:hAnsi="Lato" w:cs="Arial"/>
                <w:sz w:val="18"/>
                <w:szCs w:val="18"/>
              </w:rPr>
              <w:t xml:space="preserve">Uwaga niezasadna </w:t>
            </w:r>
          </w:p>
          <w:p w14:paraId="5ACBC9A0" w14:textId="77777777" w:rsidR="00DF44FD" w:rsidRPr="00DF44FD" w:rsidRDefault="00DF44FD" w:rsidP="00DF44FD">
            <w:pPr>
              <w:spacing w:line="240" w:lineRule="auto"/>
              <w:contextualSpacing/>
              <w:rPr>
                <w:rFonts w:ascii="Lato" w:hAnsi="Lato" w:cs="Arial"/>
                <w:sz w:val="18"/>
                <w:szCs w:val="18"/>
              </w:rPr>
            </w:pPr>
            <w:r w:rsidRPr="00DF44FD">
              <w:rPr>
                <w:rFonts w:ascii="Lato" w:hAnsi="Lato" w:cs="Arial"/>
                <w:sz w:val="18"/>
                <w:szCs w:val="18"/>
              </w:rPr>
              <w:t>Dyrektywa nie zawiera zapisu dotyczącego wartości RR; proponowany zapis ma na celu zwiększenie bezpieczeństwa dawców.  W przypadkach objawów „białego fartucha” zgodnie z zapisami dotychczasowymi rozporządzenia osoba kwalifikująca może podjąć indywidulanie decyzję o kwalifikacji dawcy do oddawania krwi lub jej składników.</w:t>
            </w:r>
          </w:p>
          <w:p w14:paraId="5702DAE9" w14:textId="77777777" w:rsidR="00DF44FD" w:rsidRPr="00DF44FD" w:rsidRDefault="00DF44FD" w:rsidP="00DF44FD">
            <w:pPr>
              <w:spacing w:line="240" w:lineRule="auto"/>
              <w:contextualSpacing/>
              <w:rPr>
                <w:rFonts w:ascii="Lato" w:hAnsi="Lato" w:cs="Arial"/>
                <w:sz w:val="18"/>
                <w:szCs w:val="18"/>
              </w:rPr>
            </w:pPr>
          </w:p>
          <w:p w14:paraId="23950A0B" w14:textId="77777777" w:rsidR="00DF44FD" w:rsidRPr="00DF44FD" w:rsidRDefault="00DF44FD" w:rsidP="00DF44FD">
            <w:pPr>
              <w:spacing w:line="240" w:lineRule="auto"/>
              <w:contextualSpacing/>
              <w:rPr>
                <w:rFonts w:ascii="Lato" w:hAnsi="Lato" w:cs="Arial"/>
                <w:sz w:val="18"/>
                <w:szCs w:val="18"/>
              </w:rPr>
            </w:pPr>
            <w:r w:rsidRPr="00DF44FD">
              <w:rPr>
                <w:rFonts w:ascii="Lato" w:hAnsi="Lato" w:cs="Arial"/>
                <w:sz w:val="18"/>
                <w:szCs w:val="18"/>
              </w:rPr>
              <w:t xml:space="preserve">Uwaga zasadna </w:t>
            </w:r>
          </w:p>
          <w:p w14:paraId="27AF02F7" w14:textId="77777777" w:rsidR="00DF44FD" w:rsidRPr="00DF44FD" w:rsidRDefault="00DF44FD" w:rsidP="00DF44FD">
            <w:pPr>
              <w:spacing w:line="240" w:lineRule="auto"/>
              <w:contextualSpacing/>
              <w:rPr>
                <w:rFonts w:ascii="Lato" w:hAnsi="Lato" w:cs="Arial"/>
                <w:sz w:val="18"/>
                <w:szCs w:val="18"/>
              </w:rPr>
            </w:pPr>
            <w:r w:rsidRPr="00DF44FD">
              <w:rPr>
                <w:rFonts w:ascii="Lato" w:hAnsi="Lato" w:cs="Arial"/>
                <w:sz w:val="18"/>
                <w:szCs w:val="18"/>
              </w:rPr>
              <w:t>Proponowany zapis „od zakończenia leczenia”</w:t>
            </w:r>
          </w:p>
          <w:p w14:paraId="001195B3" w14:textId="77777777" w:rsidR="00DF44FD" w:rsidRPr="00DF44FD" w:rsidRDefault="00DF44FD" w:rsidP="00DF44FD">
            <w:pPr>
              <w:spacing w:line="240" w:lineRule="auto"/>
              <w:contextualSpacing/>
              <w:rPr>
                <w:rFonts w:ascii="Lato" w:hAnsi="Lato" w:cs="Arial"/>
                <w:sz w:val="18"/>
                <w:szCs w:val="18"/>
              </w:rPr>
            </w:pPr>
          </w:p>
          <w:p w14:paraId="3DA8B0F2" w14:textId="77777777" w:rsidR="00DF44FD" w:rsidRPr="00DF44FD" w:rsidRDefault="00DF44FD" w:rsidP="00DF44FD">
            <w:pPr>
              <w:spacing w:line="240" w:lineRule="auto"/>
              <w:contextualSpacing/>
              <w:rPr>
                <w:rFonts w:ascii="Lato" w:hAnsi="Lato" w:cs="Arial"/>
                <w:sz w:val="18"/>
                <w:szCs w:val="18"/>
              </w:rPr>
            </w:pPr>
          </w:p>
          <w:p w14:paraId="0B99013F" w14:textId="77777777" w:rsidR="00DF44FD" w:rsidRPr="00DF44FD" w:rsidRDefault="00DF44FD" w:rsidP="00DF44FD">
            <w:pPr>
              <w:spacing w:line="240" w:lineRule="auto"/>
              <w:contextualSpacing/>
              <w:rPr>
                <w:rFonts w:ascii="Lato" w:hAnsi="Lato" w:cs="Arial"/>
                <w:sz w:val="18"/>
                <w:szCs w:val="18"/>
              </w:rPr>
            </w:pPr>
          </w:p>
          <w:p w14:paraId="07D17A06" w14:textId="77777777" w:rsidR="00DF44FD" w:rsidRPr="00DF44FD" w:rsidRDefault="00DF44FD" w:rsidP="00DF44FD">
            <w:pPr>
              <w:spacing w:line="240" w:lineRule="auto"/>
              <w:contextualSpacing/>
              <w:rPr>
                <w:rFonts w:ascii="Lato" w:hAnsi="Lato" w:cs="Arial"/>
                <w:sz w:val="18"/>
                <w:szCs w:val="18"/>
              </w:rPr>
            </w:pPr>
            <w:r w:rsidRPr="00DF44FD">
              <w:rPr>
                <w:rFonts w:ascii="Lato" w:hAnsi="Lato" w:cs="Arial"/>
                <w:sz w:val="18"/>
                <w:szCs w:val="18"/>
              </w:rPr>
              <w:t xml:space="preserve">Uwaga niezasadna </w:t>
            </w:r>
          </w:p>
          <w:p w14:paraId="0A42EB22" w14:textId="77777777" w:rsidR="00DF44FD" w:rsidRPr="00DF44FD" w:rsidRDefault="00DF44FD" w:rsidP="00DF44FD">
            <w:pPr>
              <w:spacing w:line="240" w:lineRule="auto"/>
              <w:contextualSpacing/>
              <w:rPr>
                <w:rFonts w:ascii="Lato" w:hAnsi="Lato" w:cs="Arial"/>
                <w:sz w:val="18"/>
                <w:szCs w:val="18"/>
              </w:rPr>
            </w:pPr>
            <w:r w:rsidRPr="00DF44FD">
              <w:rPr>
                <w:rFonts w:ascii="Lato" w:hAnsi="Lato" w:cs="Arial"/>
                <w:sz w:val="18"/>
                <w:szCs w:val="18"/>
              </w:rPr>
              <w:t xml:space="preserve">Dyrektywa, Guide i wytyczne WHO nie zawierają zapisu dotyczącego miesiączki; prawidłowe krwawienie miesięczne nie stanowi zagrożenia dla dawczyni,  a przy obfitych miesiączkach, jeżeli będzie zbyt niski poziom </w:t>
            </w:r>
            <w:proofErr w:type="spellStart"/>
            <w:r w:rsidRPr="00DF44FD">
              <w:rPr>
                <w:rFonts w:ascii="Lato" w:hAnsi="Lato" w:cs="Arial"/>
                <w:sz w:val="18"/>
                <w:szCs w:val="18"/>
              </w:rPr>
              <w:t>Hb</w:t>
            </w:r>
            <w:proofErr w:type="spellEnd"/>
            <w:r w:rsidRPr="00DF44FD">
              <w:rPr>
                <w:rFonts w:ascii="Lato" w:hAnsi="Lato" w:cs="Arial"/>
                <w:sz w:val="18"/>
                <w:szCs w:val="18"/>
              </w:rPr>
              <w:t xml:space="preserve"> wówczas będzie to stanowić podstawę do dyskwalifikacji czasowej</w:t>
            </w:r>
          </w:p>
        </w:tc>
      </w:tr>
      <w:tr w:rsidR="00DF44FD" w14:paraId="7AA8DF2A" w14:textId="77777777" w:rsidTr="00DF44FD">
        <w:trPr>
          <w:trHeight w:val="1327"/>
        </w:trPr>
        <w:tc>
          <w:tcPr>
            <w:tcW w:w="562" w:type="dxa"/>
            <w:tcBorders>
              <w:top w:val="single" w:sz="4" w:space="0" w:color="auto"/>
              <w:left w:val="single" w:sz="4" w:space="0" w:color="auto"/>
              <w:bottom w:val="single" w:sz="4" w:space="0" w:color="auto"/>
              <w:right w:val="single" w:sz="4" w:space="0" w:color="auto"/>
            </w:tcBorders>
            <w:vAlign w:val="center"/>
          </w:tcPr>
          <w:p w14:paraId="62C5B68B" w14:textId="77777777" w:rsidR="00DF44FD" w:rsidRDefault="00DF44FD" w:rsidP="00DF44FD">
            <w:pPr>
              <w:pStyle w:val="Akapitzlist"/>
              <w:numPr>
                <w:ilvl w:val="0"/>
                <w:numId w:val="21"/>
              </w:numPr>
              <w:spacing w:after="0" w:line="240" w:lineRule="auto"/>
              <w:jc w:val="center"/>
              <w:rPr>
                <w:rFonts w:ascii="Arial" w:hAnsi="Arial" w:cs="Arial"/>
                <w:b/>
                <w:noProof/>
                <w:sz w:val="18"/>
                <w:szCs w:val="18"/>
              </w:rPr>
            </w:pPr>
          </w:p>
        </w:tc>
        <w:tc>
          <w:tcPr>
            <w:tcW w:w="1986" w:type="dxa"/>
            <w:tcBorders>
              <w:top w:val="single" w:sz="4" w:space="0" w:color="auto"/>
              <w:left w:val="single" w:sz="4" w:space="0" w:color="auto"/>
              <w:bottom w:val="single" w:sz="4" w:space="0" w:color="auto"/>
              <w:right w:val="single" w:sz="4" w:space="0" w:color="auto"/>
            </w:tcBorders>
            <w:vAlign w:val="center"/>
          </w:tcPr>
          <w:p w14:paraId="55F8E476" w14:textId="77777777" w:rsidR="00DF44FD" w:rsidRDefault="00DF44FD" w:rsidP="00DF44FD">
            <w:pPr>
              <w:spacing w:line="240" w:lineRule="auto"/>
              <w:contextualSpacing/>
              <w:jc w:val="center"/>
              <w:rPr>
                <w:rFonts w:ascii="Arial" w:hAnsi="Arial" w:cs="Arial"/>
                <w:b/>
                <w:sz w:val="18"/>
                <w:szCs w:val="18"/>
              </w:rPr>
            </w:pPr>
            <w:proofErr w:type="spellStart"/>
            <w:r>
              <w:rPr>
                <w:rFonts w:ascii="Arial" w:hAnsi="Arial" w:cs="Arial"/>
                <w:b/>
                <w:sz w:val="18"/>
                <w:szCs w:val="18"/>
              </w:rPr>
              <w:t>RCKiK</w:t>
            </w:r>
            <w:proofErr w:type="spellEnd"/>
            <w:r>
              <w:rPr>
                <w:rFonts w:ascii="Arial" w:hAnsi="Arial" w:cs="Arial"/>
                <w:b/>
                <w:sz w:val="18"/>
                <w:szCs w:val="18"/>
              </w:rPr>
              <w:t xml:space="preserve"> Poznań</w:t>
            </w:r>
          </w:p>
        </w:tc>
        <w:tc>
          <w:tcPr>
            <w:tcW w:w="8646" w:type="dxa"/>
            <w:tcBorders>
              <w:top w:val="single" w:sz="4" w:space="0" w:color="auto"/>
              <w:left w:val="single" w:sz="4" w:space="0" w:color="auto"/>
              <w:bottom w:val="single" w:sz="4" w:space="0" w:color="auto"/>
              <w:right w:val="single" w:sz="4" w:space="0" w:color="auto"/>
            </w:tcBorders>
          </w:tcPr>
          <w:tbl>
            <w:tblPr>
              <w:tblStyle w:val="Tabela-Siatka"/>
              <w:tblW w:w="0" w:type="auto"/>
              <w:tblLook w:val="04A0" w:firstRow="1" w:lastRow="0" w:firstColumn="1" w:lastColumn="0" w:noHBand="0" w:noVBand="1"/>
            </w:tblPr>
            <w:tblGrid>
              <w:gridCol w:w="7656"/>
            </w:tblGrid>
            <w:tr w:rsidR="00DF44FD" w:rsidRPr="00DF44FD" w14:paraId="77656596" w14:textId="77777777" w:rsidTr="00F829FF">
              <w:trPr>
                <w:cantSplit/>
              </w:trPr>
              <w:tc>
                <w:tcPr>
                  <w:tcW w:w="7656" w:type="dxa"/>
                </w:tcPr>
                <w:p w14:paraId="48616745" w14:textId="77777777" w:rsidR="00DF44FD" w:rsidRPr="00DF44FD" w:rsidRDefault="00DF44FD" w:rsidP="00E2548E">
                  <w:pPr>
                    <w:pStyle w:val="Akapitzlist"/>
                    <w:framePr w:hSpace="141" w:wrap="around" w:vAnchor="page" w:hAnchor="margin" w:y="3861"/>
                    <w:numPr>
                      <w:ilvl w:val="0"/>
                      <w:numId w:val="24"/>
                    </w:numPr>
                    <w:spacing w:after="0" w:line="360" w:lineRule="auto"/>
                    <w:ind w:left="0"/>
                    <w:jc w:val="both"/>
                    <w:rPr>
                      <w:rFonts w:ascii="Lato" w:hAnsi="Lato" w:cs="Calibri Light"/>
                      <w:b/>
                      <w:bCs/>
                      <w:i/>
                      <w:iCs/>
                      <w:sz w:val="18"/>
                      <w:szCs w:val="18"/>
                    </w:rPr>
                  </w:pPr>
                  <w:r w:rsidRPr="00DF44FD">
                    <w:rPr>
                      <w:rFonts w:ascii="Lato" w:hAnsi="Lato" w:cs="Calibri Light"/>
                      <w:b/>
                      <w:bCs/>
                      <w:i/>
                      <w:iCs/>
                      <w:sz w:val="18"/>
                      <w:szCs w:val="18"/>
                    </w:rPr>
                    <w:t>w pkt 2.1. „Kryteria dyskwalifikacji stałej dla kandydatów na dawców krwi lub</w:t>
                  </w:r>
                </w:p>
                <w:p w14:paraId="5BC3AB30" w14:textId="77777777" w:rsidR="00DF44FD" w:rsidRPr="00DF44FD" w:rsidRDefault="00DF44FD" w:rsidP="00E2548E">
                  <w:pPr>
                    <w:pStyle w:val="Akapitzlist"/>
                    <w:framePr w:hSpace="141" w:wrap="around" w:vAnchor="page" w:hAnchor="margin" w:y="3861"/>
                    <w:numPr>
                      <w:ilvl w:val="0"/>
                      <w:numId w:val="24"/>
                    </w:numPr>
                    <w:spacing w:after="0" w:line="360" w:lineRule="auto"/>
                    <w:ind w:left="0"/>
                    <w:jc w:val="both"/>
                    <w:rPr>
                      <w:rFonts w:ascii="Lato" w:hAnsi="Lato" w:cs="Calibri Light"/>
                      <w:b/>
                      <w:bCs/>
                      <w:i/>
                      <w:iCs/>
                      <w:sz w:val="18"/>
                      <w:szCs w:val="18"/>
                    </w:rPr>
                  </w:pPr>
                  <w:r w:rsidRPr="00DF44FD">
                    <w:rPr>
                      <w:rFonts w:ascii="Lato" w:hAnsi="Lato" w:cs="Calibri Light"/>
                      <w:b/>
                      <w:bCs/>
                      <w:i/>
                      <w:iCs/>
                      <w:sz w:val="18"/>
                      <w:szCs w:val="18"/>
                    </w:rPr>
                    <w:t>dawców krwi allogenicznej oraz przeciwwskazania do jej pobrania</w:t>
                  </w:r>
                </w:p>
                <w:p w14:paraId="7C8B4A91" w14:textId="77777777" w:rsidR="00DF44FD" w:rsidRPr="00DF44FD" w:rsidRDefault="00DF44FD" w:rsidP="00E2548E">
                  <w:pPr>
                    <w:framePr w:hSpace="141" w:wrap="around" w:vAnchor="page" w:hAnchor="margin" w:y="3861"/>
                    <w:spacing w:after="0" w:line="360" w:lineRule="auto"/>
                    <w:jc w:val="both"/>
                    <w:rPr>
                      <w:rFonts w:ascii="Lato" w:hAnsi="Lato" w:cs="Calibri Light"/>
                      <w:b/>
                      <w:bCs/>
                      <w:i/>
                      <w:iCs/>
                      <w:sz w:val="18"/>
                      <w:szCs w:val="18"/>
                    </w:rPr>
                  </w:pPr>
                  <w:r w:rsidRPr="00DF44FD">
                    <w:rPr>
                      <w:rFonts w:ascii="Lato" w:hAnsi="Lato" w:cs="Calibri Light"/>
                      <w:b/>
                      <w:bCs/>
                      <w:i/>
                      <w:iCs/>
                      <w:sz w:val="18"/>
                      <w:szCs w:val="18"/>
                    </w:rPr>
                    <w:t xml:space="preserve">- lp. 13 </w:t>
                  </w:r>
                </w:p>
                <w:p w14:paraId="06B89FBB" w14:textId="77777777" w:rsidR="00DF44FD" w:rsidRPr="00DF44FD" w:rsidRDefault="00DF44FD" w:rsidP="00E2548E">
                  <w:pPr>
                    <w:framePr w:hSpace="141" w:wrap="around" w:vAnchor="page" w:hAnchor="margin" w:y="3861"/>
                    <w:spacing w:after="0" w:line="360" w:lineRule="auto"/>
                    <w:jc w:val="both"/>
                    <w:rPr>
                      <w:rFonts w:ascii="Lato" w:hAnsi="Lato" w:cs="Calibri Light"/>
                      <w:b/>
                      <w:bCs/>
                      <w:sz w:val="18"/>
                      <w:szCs w:val="18"/>
                    </w:rPr>
                  </w:pPr>
                  <w:r w:rsidRPr="00DF44FD">
                    <w:rPr>
                      <w:rFonts w:ascii="Lato" w:hAnsi="Lato" w:cs="Calibri Light"/>
                      <w:b/>
                      <w:bCs/>
                      <w:sz w:val="18"/>
                      <w:szCs w:val="18"/>
                    </w:rPr>
                    <w:t>Cukrzyca leczona insuliną kandydaci na dawców krwi lub dawcy krwi z rozpoznaną cukrzycą leczoną insuliną</w:t>
                  </w:r>
                </w:p>
                <w:p w14:paraId="73D47091" w14:textId="77777777" w:rsidR="00DF44FD" w:rsidRPr="00DF44FD" w:rsidRDefault="00DF44FD" w:rsidP="00E2548E">
                  <w:pPr>
                    <w:framePr w:hSpace="141" w:wrap="around" w:vAnchor="page" w:hAnchor="margin" w:y="3861"/>
                    <w:spacing w:after="0" w:line="360" w:lineRule="auto"/>
                    <w:jc w:val="both"/>
                    <w:rPr>
                      <w:rFonts w:ascii="Lato" w:hAnsi="Lato" w:cs="Calibri Light"/>
                      <w:b/>
                      <w:bCs/>
                      <w:sz w:val="18"/>
                      <w:szCs w:val="18"/>
                    </w:rPr>
                  </w:pPr>
                  <w:r w:rsidRPr="00DF44FD">
                    <w:rPr>
                      <w:rFonts w:ascii="Lato" w:hAnsi="Lato" w:cs="Calibri Light"/>
                      <w:b/>
                      <w:bCs/>
                      <w:i/>
                      <w:iCs/>
                      <w:color w:val="FF0000"/>
                      <w:sz w:val="18"/>
                      <w:szCs w:val="18"/>
                    </w:rPr>
                    <w:t xml:space="preserve">winno być: </w:t>
                  </w:r>
                  <w:r w:rsidRPr="00DF44FD">
                    <w:rPr>
                      <w:rFonts w:ascii="Lato" w:hAnsi="Lato" w:cs="Calibri Light"/>
                      <w:b/>
                      <w:bCs/>
                      <w:sz w:val="18"/>
                      <w:szCs w:val="18"/>
                    </w:rPr>
                    <w:t xml:space="preserve">Cukrzyca kandydaci na dawców krwi lub dawcy krwi z rozpoznaną cukrzycą </w:t>
                  </w:r>
                  <w:r w:rsidRPr="00DF44FD">
                    <w:rPr>
                      <w:rFonts w:ascii="Lato" w:hAnsi="Lato" w:cs="Calibri Light"/>
                      <w:b/>
                      <w:bCs/>
                      <w:sz w:val="18"/>
                      <w:szCs w:val="18"/>
                      <w:u w:val="single"/>
                    </w:rPr>
                    <w:t>uzasadnienie</w:t>
                  </w:r>
                  <w:r w:rsidRPr="00DF44FD">
                    <w:rPr>
                      <w:rFonts w:ascii="Lato" w:hAnsi="Lato" w:cs="Calibri Light"/>
                      <w:sz w:val="18"/>
                      <w:szCs w:val="18"/>
                    </w:rPr>
                    <w:t>: utrzymanie dotychczasowego zapisu o dyskwalifikacji stałej dla wszystkich dawców z rozpoznaną cukrzycą niezależnie od sposobu leczenia. Cukrzyca jest w Polsce często rozpoznawana w znacznym stopniu zaawansowania. Cukrzyca to odpowiednik choroby wieńcowej, istotne ryzyko chorób sercowo-naczyniowych ( m.in. zawał m. sercowego, udar, nadciśnienie tętnicze, NZK ).</w:t>
                  </w:r>
                </w:p>
                <w:p w14:paraId="37EF6E40" w14:textId="77777777" w:rsidR="00DF44FD" w:rsidRPr="00DF44FD" w:rsidRDefault="00DF44FD" w:rsidP="00E2548E">
                  <w:pPr>
                    <w:framePr w:hSpace="141" w:wrap="around" w:vAnchor="page" w:hAnchor="margin" w:y="3861"/>
                    <w:jc w:val="both"/>
                    <w:rPr>
                      <w:rFonts w:ascii="Lato" w:hAnsi="Lato" w:cs="Calibri Light"/>
                      <w:b/>
                      <w:bCs/>
                      <w:i/>
                      <w:iCs/>
                      <w:sz w:val="18"/>
                      <w:szCs w:val="18"/>
                    </w:rPr>
                  </w:pPr>
                </w:p>
              </w:tc>
            </w:tr>
            <w:tr w:rsidR="00DF44FD" w:rsidRPr="00DF44FD" w14:paraId="5E24BEA4" w14:textId="77777777" w:rsidTr="00F829FF">
              <w:trPr>
                <w:cantSplit/>
              </w:trPr>
              <w:tc>
                <w:tcPr>
                  <w:tcW w:w="7656" w:type="dxa"/>
                </w:tcPr>
                <w:p w14:paraId="07F7319E" w14:textId="77777777" w:rsidR="00DF44FD" w:rsidRPr="00DF44FD" w:rsidRDefault="00DF44FD" w:rsidP="00E2548E">
                  <w:pPr>
                    <w:framePr w:hSpace="141" w:wrap="around" w:vAnchor="page" w:hAnchor="margin" w:y="3861"/>
                    <w:spacing w:line="360" w:lineRule="auto"/>
                    <w:jc w:val="both"/>
                    <w:rPr>
                      <w:rFonts w:ascii="Lato" w:hAnsi="Lato" w:cs="Calibri Light"/>
                      <w:b/>
                      <w:bCs/>
                      <w:i/>
                      <w:iCs/>
                      <w:sz w:val="18"/>
                      <w:szCs w:val="18"/>
                    </w:rPr>
                  </w:pPr>
                  <w:r w:rsidRPr="00DF44FD">
                    <w:rPr>
                      <w:rFonts w:ascii="Lato" w:hAnsi="Lato" w:cs="Calibri Light"/>
                      <w:b/>
                      <w:bCs/>
                      <w:i/>
                      <w:iCs/>
                      <w:sz w:val="18"/>
                      <w:szCs w:val="18"/>
                    </w:rPr>
                    <w:t>w pkt 2.1. „Kryteria dyskwalifikacji stałej dla kandydatów na dawców krwi lub dawców krwi allogenicznej oraz przeciwwskazania do jej pobrania</w:t>
                  </w:r>
                </w:p>
                <w:p w14:paraId="31373345" w14:textId="77777777" w:rsidR="00DF44FD" w:rsidRPr="00DF44FD" w:rsidRDefault="00DF44FD" w:rsidP="00E2548E">
                  <w:pPr>
                    <w:framePr w:hSpace="141" w:wrap="around" w:vAnchor="page" w:hAnchor="margin" w:y="3861"/>
                    <w:spacing w:line="360" w:lineRule="auto"/>
                    <w:jc w:val="both"/>
                    <w:rPr>
                      <w:rFonts w:ascii="Lato" w:hAnsi="Lato" w:cs="Calibri Light"/>
                      <w:b/>
                      <w:bCs/>
                      <w:i/>
                      <w:iCs/>
                      <w:sz w:val="18"/>
                      <w:szCs w:val="18"/>
                    </w:rPr>
                  </w:pPr>
                  <w:r w:rsidRPr="00DF44FD">
                    <w:rPr>
                      <w:rFonts w:ascii="Lato" w:hAnsi="Lato" w:cs="Calibri Light"/>
                      <w:b/>
                      <w:i/>
                      <w:sz w:val="18"/>
                      <w:szCs w:val="18"/>
                    </w:rPr>
                    <w:t>– w lp. 20 kolumna 2</w:t>
                  </w:r>
                  <w:r w:rsidRPr="00DF44FD">
                    <w:rPr>
                      <w:rFonts w:ascii="Lato" w:hAnsi="Lato" w:cs="Calibri Light"/>
                      <w:bCs/>
                      <w:iCs/>
                      <w:sz w:val="18"/>
                      <w:szCs w:val="18"/>
                    </w:rPr>
                    <w:t xml:space="preserve"> </w:t>
                  </w:r>
                  <w:r w:rsidRPr="00DF44FD">
                    <w:rPr>
                      <w:rFonts w:ascii="Lato" w:hAnsi="Lato" w:cs="Calibri Light"/>
                      <w:b/>
                      <w:i/>
                      <w:sz w:val="18"/>
                      <w:szCs w:val="18"/>
                    </w:rPr>
                    <w:t>„Kryterium/przeciwwskazanie”</w:t>
                  </w:r>
                  <w:r w:rsidRPr="00DF44FD">
                    <w:rPr>
                      <w:rFonts w:ascii="Lato" w:hAnsi="Lato" w:cs="Calibri Light"/>
                      <w:bCs/>
                      <w:iCs/>
                      <w:sz w:val="18"/>
                      <w:szCs w:val="18"/>
                    </w:rPr>
                    <w:t xml:space="preserve"> </w:t>
                  </w:r>
                  <w:r w:rsidRPr="00DF44FD">
                    <w:rPr>
                      <w:rFonts w:ascii="Lato" w:hAnsi="Lato" w:cs="Calibri Light"/>
                      <w:b/>
                      <w:i/>
                      <w:sz w:val="18"/>
                      <w:szCs w:val="18"/>
                    </w:rPr>
                    <w:t xml:space="preserve"> </w:t>
                  </w:r>
                </w:p>
                <w:p w14:paraId="2DB6B2BD" w14:textId="77777777" w:rsidR="00DF44FD" w:rsidRPr="00DF44FD" w:rsidRDefault="00DF44FD" w:rsidP="00E2548E">
                  <w:pPr>
                    <w:framePr w:hSpace="141" w:wrap="around" w:vAnchor="page" w:hAnchor="margin" w:y="3861"/>
                    <w:spacing w:after="0" w:line="360" w:lineRule="auto"/>
                    <w:jc w:val="both"/>
                    <w:rPr>
                      <w:rFonts w:ascii="Lato" w:hAnsi="Lato" w:cs="Calibri Light"/>
                      <w:b/>
                      <w:iCs/>
                      <w:sz w:val="18"/>
                      <w:szCs w:val="18"/>
                    </w:rPr>
                  </w:pPr>
                  <w:r w:rsidRPr="00DF44FD">
                    <w:rPr>
                      <w:rFonts w:ascii="Lato" w:hAnsi="Lato" w:cs="Calibri Light"/>
                      <w:b/>
                      <w:iCs/>
                      <w:sz w:val="18"/>
                      <w:szCs w:val="18"/>
                    </w:rPr>
                    <w:t>Poważne zaburzenia psychiczne</w:t>
                  </w:r>
                </w:p>
                <w:p w14:paraId="54F3B9E0" w14:textId="77777777" w:rsidR="00DF44FD" w:rsidRPr="00DF44FD" w:rsidRDefault="00DF44FD" w:rsidP="00E2548E">
                  <w:pPr>
                    <w:framePr w:hSpace="141" w:wrap="around" w:vAnchor="page" w:hAnchor="margin" w:y="3861"/>
                    <w:spacing w:after="0" w:line="360" w:lineRule="auto"/>
                    <w:jc w:val="both"/>
                    <w:rPr>
                      <w:rFonts w:ascii="Lato" w:hAnsi="Lato" w:cs="Calibri Light"/>
                      <w:bCs/>
                      <w:iCs/>
                      <w:sz w:val="18"/>
                      <w:szCs w:val="18"/>
                    </w:rPr>
                  </w:pPr>
                  <w:r w:rsidRPr="00DF44FD">
                    <w:rPr>
                      <w:rFonts w:ascii="Lato" w:hAnsi="Lato" w:cs="Calibri Light"/>
                      <w:b/>
                      <w:bCs/>
                      <w:i/>
                      <w:iCs/>
                      <w:color w:val="FF0000"/>
                      <w:sz w:val="18"/>
                      <w:szCs w:val="18"/>
                    </w:rPr>
                    <w:t>winno być:</w:t>
                  </w:r>
                </w:p>
                <w:p w14:paraId="252EAF94" w14:textId="77777777" w:rsidR="00DF44FD" w:rsidRPr="00DF44FD" w:rsidRDefault="00DF44FD" w:rsidP="00E2548E">
                  <w:pPr>
                    <w:pStyle w:val="Akapitzlist"/>
                    <w:framePr w:hSpace="141" w:wrap="around" w:vAnchor="page" w:hAnchor="margin" w:y="3861"/>
                    <w:spacing w:after="0" w:line="360" w:lineRule="auto"/>
                    <w:ind w:left="0"/>
                    <w:jc w:val="both"/>
                    <w:rPr>
                      <w:rFonts w:ascii="Lato" w:hAnsi="Lato" w:cs="Calibri Light"/>
                      <w:b/>
                      <w:bCs/>
                      <w:i/>
                      <w:iCs/>
                      <w:sz w:val="18"/>
                      <w:szCs w:val="18"/>
                    </w:rPr>
                  </w:pPr>
                  <w:r w:rsidRPr="00DF44FD">
                    <w:rPr>
                      <w:rFonts w:ascii="Lato" w:hAnsi="Lato" w:cs="Calibri Light"/>
                      <w:b/>
                      <w:bCs/>
                      <w:i/>
                      <w:iCs/>
                      <w:sz w:val="18"/>
                      <w:szCs w:val="18"/>
                    </w:rPr>
                    <w:t>Zaburzenia psychiczne i zaburzenia zachowania spowodowane używaniem substancji psychoaktywnych</w:t>
                  </w:r>
                </w:p>
                <w:p w14:paraId="0B127525" w14:textId="77777777" w:rsidR="00DF44FD" w:rsidRPr="00DF44FD" w:rsidRDefault="00DF44FD" w:rsidP="00E2548E">
                  <w:pPr>
                    <w:pStyle w:val="Akapitzlist"/>
                    <w:framePr w:hSpace="141" w:wrap="around" w:vAnchor="page" w:hAnchor="margin" w:y="3861"/>
                    <w:spacing w:line="360" w:lineRule="auto"/>
                    <w:ind w:left="0"/>
                    <w:jc w:val="both"/>
                    <w:rPr>
                      <w:rFonts w:ascii="Lato" w:hAnsi="Lato" w:cs="Calibri Light"/>
                      <w:bCs/>
                      <w:iCs/>
                      <w:sz w:val="18"/>
                      <w:szCs w:val="18"/>
                    </w:rPr>
                  </w:pPr>
                  <w:r w:rsidRPr="00DF44FD">
                    <w:rPr>
                      <w:rFonts w:ascii="Lato" w:hAnsi="Lato" w:cs="Calibri Light"/>
                      <w:bCs/>
                      <w:iCs/>
                      <w:sz w:val="18"/>
                      <w:szCs w:val="18"/>
                    </w:rPr>
                    <w:t xml:space="preserve"> </w:t>
                  </w:r>
                  <w:r w:rsidRPr="00DF44FD">
                    <w:rPr>
                      <w:rFonts w:ascii="Lato" w:hAnsi="Lato" w:cs="Calibri Light"/>
                      <w:b/>
                      <w:iCs/>
                      <w:sz w:val="18"/>
                      <w:szCs w:val="18"/>
                      <w:u w:val="single"/>
                    </w:rPr>
                    <w:t>uzasadnienie</w:t>
                  </w:r>
                  <w:r w:rsidRPr="00DF44FD">
                    <w:rPr>
                      <w:rFonts w:ascii="Lato" w:hAnsi="Lato" w:cs="Calibri Light"/>
                      <w:bCs/>
                      <w:iCs/>
                      <w:sz w:val="18"/>
                      <w:szCs w:val="18"/>
                    </w:rPr>
                    <w:t>: utrzymanie dotychczasowego zapisu o dyskwalifikacji stałej również dla dawców z zaburzeniami zachowania spowodowanymi używaniem substancji psychoaktywnych. Używanie substancji psychoaktywnych jest dużym problemem, szczególnie w grupie młodych ludzi i powinno być bezwzględnym przeciwskazaniem do oddania krwi.</w:t>
                  </w:r>
                </w:p>
              </w:tc>
            </w:tr>
            <w:tr w:rsidR="00DF44FD" w:rsidRPr="00DF44FD" w14:paraId="32012A1F" w14:textId="77777777" w:rsidTr="00F829FF">
              <w:trPr>
                <w:cantSplit/>
              </w:trPr>
              <w:tc>
                <w:tcPr>
                  <w:tcW w:w="7656" w:type="dxa"/>
                </w:tcPr>
                <w:p w14:paraId="42B28E3E" w14:textId="77777777" w:rsidR="00DF44FD" w:rsidRPr="00DF44FD" w:rsidRDefault="00DF44FD" w:rsidP="00E2548E">
                  <w:pPr>
                    <w:pStyle w:val="Akapitzlist"/>
                    <w:framePr w:hSpace="141" w:wrap="around" w:vAnchor="page" w:hAnchor="margin" w:y="3861"/>
                    <w:spacing w:line="360" w:lineRule="auto"/>
                    <w:ind w:left="0"/>
                    <w:jc w:val="both"/>
                    <w:rPr>
                      <w:rFonts w:ascii="Lato" w:hAnsi="Lato" w:cs="Calibri Light"/>
                      <w:b/>
                      <w:i/>
                      <w:sz w:val="18"/>
                      <w:szCs w:val="18"/>
                    </w:rPr>
                  </w:pPr>
                  <w:r w:rsidRPr="00DF44FD">
                    <w:rPr>
                      <w:rFonts w:ascii="Lato" w:hAnsi="Lato" w:cs="Calibri Light"/>
                      <w:bCs/>
                      <w:iCs/>
                      <w:sz w:val="18"/>
                      <w:szCs w:val="18"/>
                    </w:rPr>
                    <w:t xml:space="preserve"> </w:t>
                  </w:r>
                  <w:r w:rsidRPr="00DF44FD">
                    <w:rPr>
                      <w:rFonts w:ascii="Lato" w:hAnsi="Lato" w:cs="Calibri Light"/>
                      <w:b/>
                      <w:i/>
                      <w:sz w:val="18"/>
                      <w:szCs w:val="18"/>
                    </w:rPr>
                    <w:t>Załącznik do rozporządzenia Ministra Zdrowia z dnia….(Dz. U. poz. …)</w:t>
                  </w:r>
                </w:p>
                <w:p w14:paraId="5707B33E" w14:textId="77777777" w:rsidR="00DF44FD" w:rsidRPr="00DF44FD" w:rsidRDefault="00DF44FD" w:rsidP="00E2548E">
                  <w:pPr>
                    <w:pStyle w:val="Akapitzlist"/>
                    <w:framePr w:hSpace="141" w:wrap="around" w:vAnchor="page" w:hAnchor="margin" w:y="3861"/>
                    <w:spacing w:line="360" w:lineRule="auto"/>
                    <w:ind w:left="0"/>
                    <w:jc w:val="both"/>
                    <w:rPr>
                      <w:rFonts w:ascii="Lato" w:hAnsi="Lato" w:cs="Calibri Light"/>
                      <w:b/>
                      <w:bCs/>
                      <w:iCs/>
                      <w:sz w:val="18"/>
                      <w:szCs w:val="18"/>
                    </w:rPr>
                  </w:pPr>
                  <w:r w:rsidRPr="00DF44FD">
                    <w:rPr>
                      <w:rFonts w:ascii="Lato" w:hAnsi="Lato" w:cs="Calibri Light"/>
                      <w:b/>
                      <w:bCs/>
                      <w:iCs/>
                      <w:sz w:val="18"/>
                      <w:szCs w:val="18"/>
                    </w:rPr>
                    <w:lastRenderedPageBreak/>
                    <w:t>DOPUSZCZALNA ILOŚĆ ODDAWANEJ KRWI I JEJ SKŁADNIKÓW ORAZ CZĘSTOTLIWOŚĆ ICH ODDAWANIA</w:t>
                  </w:r>
                </w:p>
                <w:p w14:paraId="5D743FBE" w14:textId="77777777" w:rsidR="00DF44FD" w:rsidRPr="00DF44FD" w:rsidRDefault="00DF44FD" w:rsidP="00E2548E">
                  <w:pPr>
                    <w:pStyle w:val="Akapitzlist"/>
                    <w:framePr w:hSpace="141" w:wrap="around" w:vAnchor="page" w:hAnchor="margin" w:y="3861"/>
                    <w:spacing w:line="360" w:lineRule="auto"/>
                    <w:ind w:left="0"/>
                    <w:jc w:val="both"/>
                    <w:rPr>
                      <w:rFonts w:ascii="Lato" w:hAnsi="Lato" w:cs="Calibri Light"/>
                      <w:bCs/>
                      <w:iCs/>
                      <w:sz w:val="18"/>
                      <w:szCs w:val="18"/>
                    </w:rPr>
                  </w:pPr>
                  <w:r w:rsidRPr="00DF44FD">
                    <w:rPr>
                      <w:rFonts w:ascii="Lato" w:hAnsi="Lato" w:cs="Calibri Light"/>
                      <w:b/>
                      <w:bCs/>
                      <w:iCs/>
                      <w:sz w:val="18"/>
                      <w:szCs w:val="18"/>
                    </w:rPr>
                    <w:t>I. DOPUSZCZALNE ODSTĘPY MIĘDZY DONACJAMI KRWI I JEJ SKŁADNIKÓW:</w:t>
                  </w:r>
                </w:p>
                <w:p w14:paraId="4FBE3D48" w14:textId="77777777" w:rsidR="00DF44FD" w:rsidRPr="00DF44FD" w:rsidRDefault="00DF44FD" w:rsidP="00E2548E">
                  <w:pPr>
                    <w:pStyle w:val="Akapitzlist"/>
                    <w:framePr w:hSpace="141" w:wrap="around" w:vAnchor="page" w:hAnchor="margin" w:y="3861"/>
                    <w:spacing w:line="360" w:lineRule="auto"/>
                    <w:ind w:left="0"/>
                    <w:jc w:val="both"/>
                    <w:rPr>
                      <w:rFonts w:ascii="Lato" w:hAnsi="Lato" w:cs="Calibri Light"/>
                      <w:bCs/>
                      <w:iCs/>
                      <w:sz w:val="18"/>
                      <w:szCs w:val="18"/>
                    </w:rPr>
                  </w:pPr>
                  <w:r w:rsidRPr="00DF44FD">
                    <w:rPr>
                      <w:rFonts w:ascii="Lato" w:hAnsi="Lato" w:cs="Calibri Light"/>
                      <w:bCs/>
                      <w:iCs/>
                      <w:sz w:val="18"/>
                      <w:szCs w:val="18"/>
                    </w:rPr>
                    <w:t xml:space="preserve"> </w:t>
                  </w:r>
                </w:p>
                <w:p w14:paraId="5041C427" w14:textId="77777777" w:rsidR="00DF44FD" w:rsidRPr="00DF44FD" w:rsidRDefault="00DF44FD" w:rsidP="00E2548E">
                  <w:pPr>
                    <w:pStyle w:val="Akapitzlist"/>
                    <w:framePr w:hSpace="141" w:wrap="around" w:vAnchor="page" w:hAnchor="margin" w:y="3861"/>
                    <w:spacing w:line="360" w:lineRule="auto"/>
                    <w:ind w:left="0"/>
                    <w:jc w:val="both"/>
                    <w:rPr>
                      <w:rFonts w:ascii="Lato" w:hAnsi="Lato" w:cs="Calibri Light"/>
                      <w:bCs/>
                      <w:iCs/>
                      <w:sz w:val="18"/>
                      <w:szCs w:val="18"/>
                    </w:rPr>
                  </w:pPr>
                </w:p>
                <w:p w14:paraId="060EF393" w14:textId="77777777" w:rsidR="00DF44FD" w:rsidRPr="00DF44FD" w:rsidRDefault="00DF44FD" w:rsidP="00E2548E">
                  <w:pPr>
                    <w:pStyle w:val="Akapitzlist"/>
                    <w:framePr w:hSpace="141" w:wrap="around" w:vAnchor="page" w:hAnchor="margin" w:y="3861"/>
                    <w:ind w:left="0"/>
                    <w:jc w:val="both"/>
                    <w:rPr>
                      <w:rFonts w:ascii="Lato" w:hAnsi="Lato" w:cs="Calibri Light"/>
                      <w:bCs/>
                      <w:iCs/>
                      <w:sz w:val="18"/>
                      <w:szCs w:val="18"/>
                    </w:rPr>
                  </w:pPr>
                  <w:r w:rsidRPr="00DF44FD">
                    <w:rPr>
                      <w:rFonts w:ascii="Lato" w:hAnsi="Lato"/>
                      <w:noProof/>
                      <w:sz w:val="18"/>
                      <w:szCs w:val="18"/>
                    </w:rPr>
                    <w:drawing>
                      <wp:inline distT="0" distB="0" distL="0" distR="0" wp14:anchorId="0334D1A4" wp14:editId="1C5B3328">
                        <wp:extent cx="4724400" cy="1875790"/>
                        <wp:effectExtent l="0" t="0" r="0" b="0"/>
                        <wp:docPr id="828946338" name="Obraz 1" descr="Obraz zawierający tekst, zrzut ekranu, oprogramowanie, numer&#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946338" name="Obraz 1" descr="Obraz zawierający tekst, zrzut ekranu, oprogramowanie, numer&#10;&#10;Opis wygenerowany automatycznie"/>
                                <pic:cNvPicPr/>
                              </pic:nvPicPr>
                              <pic:blipFill rotWithShape="1">
                                <a:blip r:embed="rId8"/>
                                <a:srcRect l="23960" t="30277" r="31201" b="42974"/>
                                <a:stretch/>
                              </pic:blipFill>
                              <pic:spPr bwMode="auto">
                                <a:xfrm>
                                  <a:off x="0" y="0"/>
                                  <a:ext cx="4725992" cy="1876422"/>
                                </a:xfrm>
                                <a:prstGeom prst="rect">
                                  <a:avLst/>
                                </a:prstGeom>
                                <a:ln>
                                  <a:noFill/>
                                </a:ln>
                                <a:extLst>
                                  <a:ext uri="{53640926-AAD7-44D8-BBD7-CCE9431645EC}">
                                    <a14:shadowObscured xmlns:a14="http://schemas.microsoft.com/office/drawing/2010/main"/>
                                  </a:ext>
                                </a:extLst>
                              </pic:spPr>
                            </pic:pic>
                          </a:graphicData>
                        </a:graphic>
                      </wp:inline>
                    </w:drawing>
                  </w:r>
                </w:p>
                <w:p w14:paraId="06A2F4FF" w14:textId="77777777" w:rsidR="00DF44FD" w:rsidRPr="00DF44FD" w:rsidRDefault="00DF44FD" w:rsidP="00E2548E">
                  <w:pPr>
                    <w:pStyle w:val="Akapitzlist"/>
                    <w:framePr w:hSpace="141" w:wrap="around" w:vAnchor="page" w:hAnchor="margin" w:y="3861"/>
                    <w:ind w:left="0"/>
                    <w:jc w:val="both"/>
                    <w:rPr>
                      <w:rFonts w:ascii="Lato" w:hAnsi="Lato" w:cs="Calibri Light"/>
                      <w:b/>
                      <w:bCs/>
                      <w:i/>
                      <w:iCs/>
                      <w:color w:val="FF0000"/>
                      <w:sz w:val="18"/>
                      <w:szCs w:val="18"/>
                    </w:rPr>
                  </w:pPr>
                  <w:r w:rsidRPr="00DF44FD">
                    <w:rPr>
                      <w:rFonts w:ascii="Lato" w:hAnsi="Lato" w:cs="Calibri Light"/>
                      <w:b/>
                      <w:bCs/>
                      <w:i/>
                      <w:iCs/>
                      <w:color w:val="FF0000"/>
                      <w:sz w:val="18"/>
                      <w:szCs w:val="18"/>
                    </w:rPr>
                    <w:t xml:space="preserve">winno być: </w:t>
                  </w:r>
                </w:p>
                <w:p w14:paraId="349D7CA8" w14:textId="77777777" w:rsidR="00DF44FD" w:rsidRPr="00DF44FD" w:rsidRDefault="00DF44FD" w:rsidP="00E2548E">
                  <w:pPr>
                    <w:pStyle w:val="Akapitzlist"/>
                    <w:framePr w:hSpace="141" w:wrap="around" w:vAnchor="page" w:hAnchor="margin" w:y="3861"/>
                    <w:spacing w:line="360" w:lineRule="auto"/>
                    <w:ind w:left="0"/>
                    <w:jc w:val="both"/>
                    <w:rPr>
                      <w:rFonts w:ascii="Lato" w:hAnsi="Lato" w:cs="Calibri Light"/>
                      <w:b/>
                      <w:bCs/>
                      <w:i/>
                      <w:iCs/>
                      <w:sz w:val="18"/>
                      <w:szCs w:val="18"/>
                    </w:rPr>
                  </w:pPr>
                  <w:r w:rsidRPr="00DF44FD">
                    <w:rPr>
                      <w:rFonts w:ascii="Lato" w:hAnsi="Lato" w:cs="Calibri Light"/>
                      <w:b/>
                      <w:bCs/>
                      <w:i/>
                      <w:iCs/>
                      <w:sz w:val="18"/>
                      <w:szCs w:val="18"/>
                    </w:rPr>
                    <w:t>odstępy między donacjami 2 tygodnie</w:t>
                  </w:r>
                </w:p>
                <w:p w14:paraId="18C3FE58" w14:textId="77777777" w:rsidR="00DF44FD" w:rsidRPr="00DF44FD" w:rsidRDefault="00DF44FD" w:rsidP="00E2548E">
                  <w:pPr>
                    <w:pStyle w:val="Akapitzlist"/>
                    <w:framePr w:hSpace="141" w:wrap="around" w:vAnchor="page" w:hAnchor="margin" w:y="3861"/>
                    <w:spacing w:line="360" w:lineRule="auto"/>
                    <w:ind w:left="0"/>
                    <w:jc w:val="both"/>
                    <w:rPr>
                      <w:rFonts w:ascii="Lato" w:hAnsi="Lato" w:cs="Calibri Light"/>
                      <w:b/>
                      <w:bCs/>
                      <w:i/>
                      <w:iCs/>
                      <w:sz w:val="18"/>
                      <w:szCs w:val="18"/>
                    </w:rPr>
                  </w:pPr>
                  <w:r w:rsidRPr="00DF44FD">
                    <w:rPr>
                      <w:rFonts w:ascii="Lato" w:hAnsi="Lato" w:cs="Calibri Light"/>
                      <w:b/>
                      <w:iCs/>
                      <w:sz w:val="18"/>
                      <w:szCs w:val="18"/>
                      <w:u w:val="single"/>
                    </w:rPr>
                    <w:t>Uzasadnienie</w:t>
                  </w:r>
                  <w:r w:rsidRPr="00DF44FD">
                    <w:rPr>
                      <w:rFonts w:ascii="Lato" w:hAnsi="Lato" w:cs="Calibri Light"/>
                      <w:bCs/>
                      <w:iCs/>
                      <w:sz w:val="18"/>
                      <w:szCs w:val="18"/>
                    </w:rPr>
                    <w:t xml:space="preserve">: zbyt krótki odstęp pomiędzy oddaniem zabiegiem </w:t>
                  </w:r>
                  <w:proofErr w:type="spellStart"/>
                  <w:r w:rsidRPr="00DF44FD">
                    <w:rPr>
                      <w:rFonts w:ascii="Lato" w:hAnsi="Lato" w:cs="Calibri Light"/>
                      <w:bCs/>
                      <w:iCs/>
                      <w:sz w:val="18"/>
                      <w:szCs w:val="18"/>
                    </w:rPr>
                    <w:t>trombaferezy</w:t>
                  </w:r>
                  <w:proofErr w:type="spellEnd"/>
                  <w:r w:rsidRPr="00DF44FD">
                    <w:rPr>
                      <w:rFonts w:ascii="Lato" w:hAnsi="Lato" w:cs="Calibri Light"/>
                      <w:bCs/>
                      <w:iCs/>
                      <w:sz w:val="18"/>
                      <w:szCs w:val="18"/>
                    </w:rPr>
                    <w:t xml:space="preserve">, plazmaferezy, </w:t>
                  </w:r>
                  <w:proofErr w:type="spellStart"/>
                  <w:r w:rsidRPr="00DF44FD">
                    <w:rPr>
                      <w:rFonts w:ascii="Lato" w:hAnsi="Lato" w:cs="Calibri Light"/>
                      <w:bCs/>
                      <w:iCs/>
                      <w:sz w:val="18"/>
                      <w:szCs w:val="18"/>
                    </w:rPr>
                    <w:t>trombaferezy</w:t>
                  </w:r>
                  <w:proofErr w:type="spellEnd"/>
                  <w:r w:rsidRPr="00DF44FD">
                    <w:rPr>
                      <w:rFonts w:ascii="Lato" w:hAnsi="Lato" w:cs="Calibri Light"/>
                      <w:bCs/>
                      <w:iCs/>
                      <w:sz w:val="18"/>
                      <w:szCs w:val="18"/>
                    </w:rPr>
                    <w:t>+ plazmaferezy , a oddaniem krwi pełnej. Zbyt krótki czas 48 godzin na regenerację układu żylnego, istnieje również ryzyko spadku parametrów morfotycznych krwi, zaburzeń elektrolitowych.</w:t>
                  </w:r>
                </w:p>
              </w:tc>
            </w:tr>
            <w:tr w:rsidR="00DF44FD" w:rsidRPr="00DF44FD" w14:paraId="28402518" w14:textId="77777777" w:rsidTr="00F829FF">
              <w:trPr>
                <w:cantSplit/>
              </w:trPr>
              <w:tc>
                <w:tcPr>
                  <w:tcW w:w="7656" w:type="dxa"/>
                </w:tcPr>
                <w:p w14:paraId="71B9AAEB" w14:textId="77777777" w:rsidR="00DF44FD" w:rsidRPr="00DF44FD" w:rsidRDefault="00DF44FD" w:rsidP="00E2548E">
                  <w:pPr>
                    <w:pStyle w:val="Akapitzlist"/>
                    <w:framePr w:hSpace="141" w:wrap="around" w:vAnchor="page" w:hAnchor="margin" w:y="3861"/>
                    <w:numPr>
                      <w:ilvl w:val="0"/>
                      <w:numId w:val="24"/>
                    </w:numPr>
                    <w:spacing w:after="0" w:line="240" w:lineRule="auto"/>
                    <w:ind w:left="0"/>
                    <w:jc w:val="both"/>
                    <w:rPr>
                      <w:rFonts w:ascii="Lato" w:hAnsi="Lato" w:cs="Calibri Light"/>
                      <w:bCs/>
                      <w:iCs/>
                      <w:sz w:val="18"/>
                      <w:szCs w:val="18"/>
                    </w:rPr>
                  </w:pPr>
                  <w:r w:rsidRPr="00DF44FD">
                    <w:rPr>
                      <w:rFonts w:ascii="Lato" w:hAnsi="Lato" w:cs="Calibri Light"/>
                      <w:bCs/>
                      <w:iCs/>
                      <w:sz w:val="18"/>
                      <w:szCs w:val="18"/>
                    </w:rPr>
                    <w:lastRenderedPageBreak/>
                    <w:t xml:space="preserve"> </w:t>
                  </w:r>
                </w:p>
                <w:p w14:paraId="7ADEFA65" w14:textId="77777777" w:rsidR="00DF44FD" w:rsidRPr="00DF44FD" w:rsidRDefault="00DF44FD" w:rsidP="00E2548E">
                  <w:pPr>
                    <w:framePr w:hSpace="141" w:wrap="around" w:vAnchor="page" w:hAnchor="margin" w:y="3861"/>
                    <w:spacing w:line="240" w:lineRule="auto"/>
                    <w:jc w:val="both"/>
                    <w:rPr>
                      <w:rFonts w:ascii="Lato" w:hAnsi="Lato" w:cs="Calibri Light"/>
                      <w:b/>
                      <w:bCs/>
                      <w:iCs/>
                      <w:sz w:val="18"/>
                      <w:szCs w:val="18"/>
                    </w:rPr>
                  </w:pPr>
                  <w:r w:rsidRPr="00DF44FD">
                    <w:rPr>
                      <w:rFonts w:ascii="Lato" w:hAnsi="Lato" w:cs="Calibri Light"/>
                      <w:b/>
                      <w:bCs/>
                      <w:iCs/>
                      <w:sz w:val="18"/>
                      <w:szCs w:val="18"/>
                    </w:rPr>
                    <w:t>II. DOPUSZCZALNA ILOŚĆ ODDAWANEJ KRWI I JEJ SKŁADNIKÓW ORAZ</w:t>
                  </w:r>
                </w:p>
                <w:p w14:paraId="5738ECCD" w14:textId="77777777" w:rsidR="00DF44FD" w:rsidRPr="00DF44FD" w:rsidRDefault="00DF44FD" w:rsidP="00E2548E">
                  <w:pPr>
                    <w:framePr w:hSpace="141" w:wrap="around" w:vAnchor="page" w:hAnchor="margin" w:y="3861"/>
                    <w:spacing w:line="240" w:lineRule="auto"/>
                    <w:jc w:val="both"/>
                    <w:rPr>
                      <w:rFonts w:ascii="Lato" w:hAnsi="Lato" w:cs="Calibri Light"/>
                      <w:b/>
                      <w:bCs/>
                      <w:iCs/>
                      <w:sz w:val="18"/>
                      <w:szCs w:val="18"/>
                    </w:rPr>
                  </w:pPr>
                  <w:r w:rsidRPr="00DF44FD">
                    <w:rPr>
                      <w:rFonts w:ascii="Lato" w:hAnsi="Lato" w:cs="Calibri Light"/>
                      <w:b/>
                      <w:bCs/>
                      <w:iCs/>
                      <w:sz w:val="18"/>
                      <w:szCs w:val="18"/>
                    </w:rPr>
                    <w:t>SZCZEGÓLNE PRZYPADKI ODSTĘPÓW MIĘDZY DONACJAMI KRWI I JEJ</w:t>
                  </w:r>
                </w:p>
                <w:p w14:paraId="3DE154E8" w14:textId="77777777" w:rsidR="00DF44FD" w:rsidRPr="00DF44FD" w:rsidRDefault="00DF44FD" w:rsidP="00E2548E">
                  <w:pPr>
                    <w:framePr w:hSpace="141" w:wrap="around" w:vAnchor="page" w:hAnchor="margin" w:y="3861"/>
                    <w:spacing w:line="240" w:lineRule="auto"/>
                    <w:jc w:val="both"/>
                    <w:rPr>
                      <w:rFonts w:ascii="Lato" w:hAnsi="Lato" w:cs="Calibri Light"/>
                      <w:bCs/>
                      <w:iCs/>
                      <w:sz w:val="18"/>
                      <w:szCs w:val="18"/>
                    </w:rPr>
                  </w:pPr>
                  <w:r w:rsidRPr="00DF44FD">
                    <w:rPr>
                      <w:rFonts w:ascii="Lato" w:hAnsi="Lato" w:cs="Calibri Light"/>
                      <w:b/>
                      <w:bCs/>
                      <w:iCs/>
                      <w:sz w:val="18"/>
                      <w:szCs w:val="18"/>
                    </w:rPr>
                    <w:t>SKŁADNIKÓW</w:t>
                  </w:r>
                </w:p>
                <w:p w14:paraId="0883195B" w14:textId="77777777" w:rsidR="00DF44FD" w:rsidRPr="00DF44FD" w:rsidRDefault="00DF44FD" w:rsidP="00E2548E">
                  <w:pPr>
                    <w:framePr w:hSpace="141" w:wrap="around" w:vAnchor="page" w:hAnchor="margin" w:y="3861"/>
                    <w:spacing w:after="0" w:line="240" w:lineRule="auto"/>
                    <w:jc w:val="both"/>
                    <w:rPr>
                      <w:rFonts w:ascii="Lato" w:hAnsi="Lato" w:cs="Calibri Light"/>
                      <w:bCs/>
                      <w:iCs/>
                      <w:sz w:val="18"/>
                      <w:szCs w:val="18"/>
                    </w:rPr>
                  </w:pPr>
                  <w:r w:rsidRPr="00DF44FD">
                    <w:rPr>
                      <w:rFonts w:ascii="Lato" w:hAnsi="Lato" w:cs="Calibri Light"/>
                      <w:b/>
                      <w:bCs/>
                      <w:iCs/>
                      <w:sz w:val="18"/>
                      <w:szCs w:val="18"/>
                    </w:rPr>
                    <w:t>A. Krew pełna</w:t>
                  </w:r>
                </w:p>
                <w:p w14:paraId="28708011" w14:textId="77777777" w:rsidR="00DF44FD" w:rsidRPr="00DF44FD" w:rsidRDefault="00DF44FD" w:rsidP="00E2548E">
                  <w:pPr>
                    <w:framePr w:hSpace="141" w:wrap="around" w:vAnchor="page" w:hAnchor="margin" w:y="3861"/>
                    <w:spacing w:line="240" w:lineRule="auto"/>
                    <w:jc w:val="both"/>
                    <w:rPr>
                      <w:rFonts w:ascii="Lato" w:hAnsi="Lato" w:cs="Calibri Light"/>
                      <w:bCs/>
                      <w:iCs/>
                      <w:sz w:val="18"/>
                      <w:szCs w:val="18"/>
                    </w:rPr>
                  </w:pPr>
                  <w:r w:rsidRPr="00DF44FD">
                    <w:rPr>
                      <w:rFonts w:ascii="Lato" w:hAnsi="Lato" w:cs="Calibri Light"/>
                      <w:bCs/>
                      <w:iCs/>
                      <w:sz w:val="18"/>
                      <w:szCs w:val="18"/>
                    </w:rPr>
                    <w:lastRenderedPageBreak/>
                    <w:t>Po oddaniu komórek krwiotwórczych z krwi obwodowej lub ze szpiku kostnego lub limfocytów dla biorcy jego komórek krwiotwórczych, dawca może oddać krew pełną nie wcześniej niż 12 tygodni po zabiegu pobrania komórek krwiotwórczych lub limfocytów z krwi obwodowej, a w przypadku zabiegu pobrania komórek krwiotwórczych ze szpiku kostnego – nie wcześniej niż 24 tygodnie.</w:t>
                  </w:r>
                </w:p>
                <w:p w14:paraId="7EEDD501" w14:textId="77777777" w:rsidR="00DF44FD" w:rsidRPr="00DF44FD" w:rsidRDefault="00DF44FD" w:rsidP="00E2548E">
                  <w:pPr>
                    <w:pStyle w:val="Akapitzlist"/>
                    <w:framePr w:hSpace="141" w:wrap="around" w:vAnchor="page" w:hAnchor="margin" w:y="3861"/>
                    <w:spacing w:after="0" w:line="240" w:lineRule="auto"/>
                    <w:ind w:left="0"/>
                    <w:jc w:val="both"/>
                    <w:rPr>
                      <w:rFonts w:ascii="Lato" w:hAnsi="Lato" w:cs="Calibri Light"/>
                      <w:b/>
                      <w:bCs/>
                      <w:i/>
                      <w:iCs/>
                      <w:color w:val="FF0000"/>
                      <w:sz w:val="18"/>
                      <w:szCs w:val="18"/>
                    </w:rPr>
                  </w:pPr>
                  <w:r w:rsidRPr="00DF44FD">
                    <w:rPr>
                      <w:rFonts w:ascii="Lato" w:hAnsi="Lato" w:cs="Calibri Light"/>
                      <w:b/>
                      <w:bCs/>
                      <w:i/>
                      <w:iCs/>
                      <w:color w:val="FF0000"/>
                      <w:sz w:val="18"/>
                      <w:szCs w:val="18"/>
                    </w:rPr>
                    <w:t xml:space="preserve">winno być: </w:t>
                  </w:r>
                  <w:r w:rsidRPr="00DF44FD">
                    <w:rPr>
                      <w:rFonts w:ascii="Lato" w:hAnsi="Lato" w:cs="Calibri Light"/>
                      <w:sz w:val="18"/>
                      <w:szCs w:val="18"/>
                    </w:rPr>
                    <w:t>Po oddaniu komórek krwiotwórczych z krwi obwodowej lub ze szpiku kostnego lub</w:t>
                  </w:r>
                </w:p>
                <w:p w14:paraId="0511767C" w14:textId="77777777" w:rsidR="00DF44FD" w:rsidRPr="00DF44FD" w:rsidRDefault="00DF44FD" w:rsidP="00E2548E">
                  <w:pPr>
                    <w:framePr w:hSpace="141" w:wrap="around" w:vAnchor="page" w:hAnchor="margin" w:y="3861"/>
                    <w:spacing w:after="0" w:line="240" w:lineRule="auto"/>
                    <w:jc w:val="both"/>
                    <w:rPr>
                      <w:rFonts w:ascii="Lato" w:hAnsi="Lato" w:cs="Calibri Light"/>
                      <w:sz w:val="18"/>
                      <w:szCs w:val="18"/>
                    </w:rPr>
                  </w:pPr>
                  <w:r w:rsidRPr="00DF44FD">
                    <w:rPr>
                      <w:rFonts w:ascii="Lato" w:hAnsi="Lato" w:cs="Calibri Light"/>
                      <w:sz w:val="18"/>
                      <w:szCs w:val="18"/>
                    </w:rPr>
                    <w:t>limfocytów dla biorcy jego komórek krwiotwórczych, dawca może oddać krew pełną nie wcześniej niż 24 tygodnie po zabiegu pobrania komórek krwiotwórczych lub limfocytów z krwi obwodowej, oraz w  przypadku zabiegu pobrania komórek krwiotwórczych ze szpiku kostnego – nie wcześniej niż 24 tygodnie.</w:t>
                  </w:r>
                </w:p>
                <w:p w14:paraId="09FB34EA" w14:textId="77777777" w:rsidR="00DF44FD" w:rsidRPr="00DF44FD" w:rsidRDefault="00DF44FD" w:rsidP="00E2548E">
                  <w:pPr>
                    <w:framePr w:hSpace="141" w:wrap="around" w:vAnchor="page" w:hAnchor="margin" w:y="3861"/>
                    <w:spacing w:after="0" w:line="240" w:lineRule="auto"/>
                    <w:jc w:val="both"/>
                    <w:rPr>
                      <w:rFonts w:ascii="Lato" w:hAnsi="Lato" w:cs="Calibri Light"/>
                      <w:b/>
                      <w:bCs/>
                      <w:i/>
                      <w:iCs/>
                      <w:sz w:val="18"/>
                      <w:szCs w:val="18"/>
                    </w:rPr>
                  </w:pPr>
                  <w:r w:rsidRPr="00DF44FD">
                    <w:rPr>
                      <w:rFonts w:ascii="Lato" w:hAnsi="Lato" w:cs="Calibri Light"/>
                      <w:b/>
                      <w:bCs/>
                      <w:i/>
                      <w:iCs/>
                      <w:sz w:val="18"/>
                      <w:szCs w:val="18"/>
                    </w:rPr>
                    <w:t>uzasadnienie:</w:t>
                  </w:r>
                </w:p>
                <w:p w14:paraId="05299B86" w14:textId="77777777" w:rsidR="00DF44FD" w:rsidRPr="00DF44FD" w:rsidRDefault="00DF44FD" w:rsidP="00E2548E">
                  <w:pPr>
                    <w:pStyle w:val="Akapitzlist"/>
                    <w:framePr w:hSpace="141" w:wrap="around" w:vAnchor="page" w:hAnchor="margin" w:y="3861"/>
                    <w:spacing w:after="0" w:line="240" w:lineRule="auto"/>
                    <w:ind w:left="0"/>
                    <w:jc w:val="both"/>
                    <w:rPr>
                      <w:rFonts w:ascii="Lato" w:hAnsi="Lato" w:cs="Calibri Light"/>
                      <w:bCs/>
                      <w:iCs/>
                      <w:sz w:val="18"/>
                      <w:szCs w:val="18"/>
                    </w:rPr>
                  </w:pPr>
                  <w:r w:rsidRPr="00DF44FD">
                    <w:rPr>
                      <w:rFonts w:ascii="Lato" w:hAnsi="Lato" w:cs="Calibri Light"/>
                      <w:bCs/>
                      <w:iCs/>
                      <w:sz w:val="18"/>
                      <w:szCs w:val="18"/>
                    </w:rPr>
                    <w:t>Ujednolicenie odstępu po oddaniu komórek krwiotwórczych z krwi obwodowej lub ze szpiku kostnego do 24 tygodni. Oddanie komórek krwiotwórczych jest zabiegiem wpływającym na funkcjonowanie układu krwiotwórczego oraz układu odpornościowego dawcy ( stymulacja czynnikiem wzrostu G-CSF), dlatego okres odstępu 24 tygodni dla obu rodzajów pobrań jest uzasadniony.</w:t>
                  </w:r>
                </w:p>
              </w:tc>
            </w:tr>
          </w:tbl>
          <w:p w14:paraId="3FDBD326" w14:textId="77777777" w:rsidR="00DF44FD" w:rsidRPr="00DF44FD" w:rsidRDefault="00DF44FD" w:rsidP="00DF44FD">
            <w:pPr>
              <w:spacing w:after="0" w:line="240" w:lineRule="auto"/>
              <w:jc w:val="both"/>
              <w:rPr>
                <w:rFonts w:ascii="Lato" w:hAnsi="Lato" w:cs="Arial"/>
                <w:sz w:val="18"/>
                <w:szCs w:val="18"/>
              </w:rPr>
            </w:pPr>
          </w:p>
        </w:tc>
        <w:tc>
          <w:tcPr>
            <w:tcW w:w="3236" w:type="dxa"/>
            <w:tcBorders>
              <w:top w:val="single" w:sz="4" w:space="0" w:color="auto"/>
              <w:left w:val="single" w:sz="4" w:space="0" w:color="auto"/>
              <w:bottom w:val="single" w:sz="4" w:space="0" w:color="auto"/>
              <w:right w:val="single" w:sz="4" w:space="0" w:color="auto"/>
            </w:tcBorders>
          </w:tcPr>
          <w:p w14:paraId="6F4032F1" w14:textId="77777777" w:rsidR="00DF44FD" w:rsidRPr="00DF44FD" w:rsidRDefault="00DF44FD" w:rsidP="00DF44FD">
            <w:pPr>
              <w:spacing w:line="240" w:lineRule="auto"/>
              <w:contextualSpacing/>
              <w:rPr>
                <w:rFonts w:ascii="Lato" w:hAnsi="Lato" w:cs="Arial"/>
                <w:sz w:val="18"/>
                <w:szCs w:val="18"/>
              </w:rPr>
            </w:pPr>
          </w:p>
          <w:p w14:paraId="0CEF3519" w14:textId="77777777" w:rsidR="00DF44FD" w:rsidRPr="00DF44FD" w:rsidRDefault="00DF44FD" w:rsidP="00DF44FD">
            <w:pPr>
              <w:spacing w:line="240" w:lineRule="auto"/>
              <w:contextualSpacing/>
              <w:rPr>
                <w:rFonts w:ascii="Lato" w:hAnsi="Lato" w:cs="Arial"/>
                <w:sz w:val="18"/>
                <w:szCs w:val="18"/>
              </w:rPr>
            </w:pPr>
            <w:r w:rsidRPr="00DF44FD">
              <w:rPr>
                <w:rFonts w:ascii="Lato" w:hAnsi="Lato" w:cs="Arial"/>
                <w:sz w:val="18"/>
                <w:szCs w:val="18"/>
              </w:rPr>
              <w:t>Uwaga niezasadna</w:t>
            </w:r>
          </w:p>
          <w:p w14:paraId="4FD4C923" w14:textId="77777777" w:rsidR="00DF44FD" w:rsidRPr="00DF44FD" w:rsidRDefault="00DF44FD" w:rsidP="00DF44FD">
            <w:pPr>
              <w:spacing w:line="240" w:lineRule="auto"/>
              <w:contextualSpacing/>
              <w:rPr>
                <w:rFonts w:ascii="Lato" w:hAnsi="Lato" w:cs="Arial"/>
                <w:sz w:val="18"/>
                <w:szCs w:val="18"/>
              </w:rPr>
            </w:pPr>
            <w:r w:rsidRPr="00DF44FD">
              <w:rPr>
                <w:rFonts w:ascii="Lato" w:hAnsi="Lato" w:cs="Arial"/>
                <w:sz w:val="18"/>
                <w:szCs w:val="18"/>
              </w:rPr>
              <w:t xml:space="preserve">Dyrektywa przewiduje dyskwalifikacje tylko w przypadku leczenia cukrzycy insuliną </w:t>
            </w:r>
          </w:p>
          <w:p w14:paraId="31352160" w14:textId="77777777" w:rsidR="00DF44FD" w:rsidRPr="00DF44FD" w:rsidRDefault="00DF44FD" w:rsidP="00DF44FD">
            <w:pPr>
              <w:spacing w:line="240" w:lineRule="auto"/>
              <w:contextualSpacing/>
              <w:rPr>
                <w:rFonts w:ascii="Lato" w:hAnsi="Lato" w:cs="Arial"/>
                <w:sz w:val="18"/>
                <w:szCs w:val="18"/>
              </w:rPr>
            </w:pPr>
          </w:p>
          <w:p w14:paraId="5E4E3BA9" w14:textId="77777777" w:rsidR="00DF44FD" w:rsidRPr="00DF44FD" w:rsidRDefault="00DF44FD" w:rsidP="00DF44FD">
            <w:pPr>
              <w:spacing w:line="240" w:lineRule="auto"/>
              <w:contextualSpacing/>
              <w:rPr>
                <w:rFonts w:ascii="Lato" w:hAnsi="Lato" w:cs="Arial"/>
                <w:sz w:val="18"/>
                <w:szCs w:val="18"/>
              </w:rPr>
            </w:pPr>
            <w:r w:rsidRPr="00DF44FD">
              <w:rPr>
                <w:rFonts w:ascii="Lato" w:hAnsi="Lato" w:cs="Arial"/>
                <w:sz w:val="18"/>
                <w:szCs w:val="18"/>
              </w:rPr>
              <w:t xml:space="preserve">Według Dyrektywy Komisji 2004/33/WE z dnia 22 marca 2004 r. obowiązuje dyskwalifikacja osób chorych na cukrzycę leczoną insuliną. Jednak według uzyskanej opinii specjalisty farmakologii klinicznej, niektóre leki stosowane w leczeniu cukrzycy mogą mieć działanie hipoglikemizujące, natomiast lekiem bezpiecznym dla biorcy i dawcy jest </w:t>
            </w:r>
            <w:proofErr w:type="spellStart"/>
            <w:r w:rsidRPr="00DF44FD">
              <w:rPr>
                <w:rFonts w:ascii="Lato" w:hAnsi="Lato" w:cs="Arial"/>
                <w:sz w:val="18"/>
                <w:szCs w:val="18"/>
              </w:rPr>
              <w:t>metformina</w:t>
            </w:r>
            <w:proofErr w:type="spellEnd"/>
            <w:r w:rsidRPr="00DF44FD">
              <w:rPr>
                <w:rFonts w:ascii="Lato" w:hAnsi="Lato" w:cs="Arial"/>
                <w:sz w:val="18"/>
                <w:szCs w:val="18"/>
              </w:rPr>
              <w:t xml:space="preserve"> – stąd zapisy zaproponowane w projekcie.</w:t>
            </w:r>
          </w:p>
          <w:p w14:paraId="7A53AFC9" w14:textId="77777777" w:rsidR="00DF44FD" w:rsidRPr="00DF44FD" w:rsidRDefault="00DF44FD" w:rsidP="00DF44FD">
            <w:pPr>
              <w:spacing w:line="240" w:lineRule="auto"/>
              <w:contextualSpacing/>
              <w:rPr>
                <w:rFonts w:ascii="Lato" w:hAnsi="Lato" w:cs="Arial"/>
                <w:sz w:val="18"/>
                <w:szCs w:val="18"/>
              </w:rPr>
            </w:pPr>
          </w:p>
          <w:p w14:paraId="778BB9B6" w14:textId="77777777" w:rsidR="00DF44FD" w:rsidRPr="00DF44FD" w:rsidRDefault="00DF44FD" w:rsidP="00DF44FD">
            <w:pPr>
              <w:spacing w:line="240" w:lineRule="auto"/>
              <w:contextualSpacing/>
              <w:rPr>
                <w:rFonts w:ascii="Lato" w:hAnsi="Lato" w:cs="Arial"/>
                <w:sz w:val="18"/>
                <w:szCs w:val="18"/>
              </w:rPr>
            </w:pPr>
          </w:p>
          <w:p w14:paraId="46607985" w14:textId="77777777" w:rsidR="00DF44FD" w:rsidRPr="00DF44FD" w:rsidRDefault="00DF44FD" w:rsidP="00DF44FD">
            <w:pPr>
              <w:spacing w:line="240" w:lineRule="auto"/>
              <w:contextualSpacing/>
              <w:rPr>
                <w:rFonts w:ascii="Lato" w:hAnsi="Lato" w:cs="Arial"/>
                <w:sz w:val="18"/>
                <w:szCs w:val="18"/>
              </w:rPr>
            </w:pPr>
          </w:p>
          <w:p w14:paraId="7E22CDA3" w14:textId="77777777" w:rsidR="00DF44FD" w:rsidRPr="00DF44FD" w:rsidRDefault="00DF44FD" w:rsidP="00DF44FD">
            <w:pPr>
              <w:spacing w:line="240" w:lineRule="auto"/>
              <w:contextualSpacing/>
              <w:rPr>
                <w:rFonts w:ascii="Lato" w:hAnsi="Lato" w:cs="Arial"/>
                <w:sz w:val="18"/>
                <w:szCs w:val="18"/>
              </w:rPr>
            </w:pPr>
          </w:p>
          <w:p w14:paraId="1837DCC1" w14:textId="77777777" w:rsidR="00DF44FD" w:rsidRPr="00DF44FD" w:rsidRDefault="00DF44FD" w:rsidP="00DF44FD">
            <w:pPr>
              <w:spacing w:line="240" w:lineRule="auto"/>
              <w:contextualSpacing/>
              <w:rPr>
                <w:rFonts w:ascii="Lato" w:hAnsi="Lato" w:cs="Arial"/>
                <w:sz w:val="18"/>
                <w:szCs w:val="18"/>
              </w:rPr>
            </w:pPr>
          </w:p>
          <w:p w14:paraId="321C9961" w14:textId="77777777" w:rsidR="00DF44FD" w:rsidRPr="00DF44FD" w:rsidRDefault="00DF44FD" w:rsidP="00DF44FD">
            <w:pPr>
              <w:spacing w:line="240" w:lineRule="auto"/>
              <w:contextualSpacing/>
              <w:rPr>
                <w:rFonts w:ascii="Lato" w:hAnsi="Lato" w:cs="Arial"/>
                <w:sz w:val="18"/>
                <w:szCs w:val="18"/>
              </w:rPr>
            </w:pPr>
          </w:p>
          <w:p w14:paraId="0E34D9BC" w14:textId="77777777" w:rsidR="00DF44FD" w:rsidRPr="00DF44FD" w:rsidRDefault="00DF44FD" w:rsidP="00DF44FD">
            <w:pPr>
              <w:spacing w:line="240" w:lineRule="auto"/>
              <w:contextualSpacing/>
              <w:rPr>
                <w:rFonts w:ascii="Lato" w:hAnsi="Lato" w:cs="Arial"/>
                <w:sz w:val="18"/>
                <w:szCs w:val="18"/>
              </w:rPr>
            </w:pPr>
            <w:r w:rsidRPr="00DF44FD">
              <w:rPr>
                <w:rFonts w:ascii="Lato" w:hAnsi="Lato" w:cs="Arial"/>
                <w:sz w:val="18"/>
                <w:szCs w:val="18"/>
              </w:rPr>
              <w:t>Uwaga niezasadna</w:t>
            </w:r>
          </w:p>
          <w:p w14:paraId="1C91BD51" w14:textId="77777777" w:rsidR="00DF44FD" w:rsidRPr="00DF44FD" w:rsidRDefault="00DF44FD" w:rsidP="00DF44FD">
            <w:pPr>
              <w:spacing w:line="240" w:lineRule="auto"/>
              <w:contextualSpacing/>
              <w:rPr>
                <w:rFonts w:ascii="Lato" w:hAnsi="Lato" w:cs="Arial"/>
                <w:sz w:val="18"/>
                <w:szCs w:val="18"/>
              </w:rPr>
            </w:pPr>
            <w:r w:rsidRPr="00DF44FD">
              <w:rPr>
                <w:rFonts w:ascii="Lato" w:hAnsi="Lato" w:cs="Arial"/>
                <w:sz w:val="18"/>
                <w:szCs w:val="18"/>
              </w:rPr>
              <w:t xml:space="preserve">Dyrektywa nie wymaga dyskwalifikacji ze względu na zaburzenia psychiczne.  Dyrektywa nie zawiera także zapisu o substancjach psychoaktywnych. </w:t>
            </w:r>
          </w:p>
          <w:p w14:paraId="1E1892DC" w14:textId="77777777" w:rsidR="00DF44FD" w:rsidRPr="00DF44FD" w:rsidRDefault="00DF44FD" w:rsidP="00DF44FD">
            <w:pPr>
              <w:spacing w:line="240" w:lineRule="auto"/>
              <w:contextualSpacing/>
              <w:rPr>
                <w:rFonts w:ascii="Lato" w:hAnsi="Lato" w:cs="Arial"/>
                <w:sz w:val="18"/>
                <w:szCs w:val="18"/>
              </w:rPr>
            </w:pPr>
          </w:p>
          <w:p w14:paraId="2FC6D1DF" w14:textId="77777777" w:rsidR="00DF44FD" w:rsidRPr="00DF44FD" w:rsidRDefault="00DF44FD" w:rsidP="00DF44FD">
            <w:pPr>
              <w:spacing w:line="240" w:lineRule="auto"/>
              <w:contextualSpacing/>
              <w:rPr>
                <w:rFonts w:ascii="Lato" w:hAnsi="Lato" w:cs="Arial"/>
                <w:sz w:val="18"/>
                <w:szCs w:val="18"/>
              </w:rPr>
            </w:pPr>
            <w:r w:rsidRPr="00DF44FD">
              <w:rPr>
                <w:rFonts w:ascii="Lato" w:hAnsi="Lato" w:cs="Arial"/>
                <w:sz w:val="18"/>
                <w:szCs w:val="18"/>
              </w:rPr>
              <w:t xml:space="preserve">Jeżeli stan zdrowia psychicznego w trakcie kwalifikacji budzi wątpliwości, zaleca się uzyskanie opinii od lekarza psychiatry. </w:t>
            </w:r>
            <w:r w:rsidRPr="00DF44FD">
              <w:rPr>
                <w:rFonts w:ascii="Lato" w:hAnsi="Lato" w:cs="Calibri Light"/>
                <w:b/>
                <w:bCs/>
                <w:i/>
                <w:iCs/>
                <w:sz w:val="18"/>
                <w:szCs w:val="18"/>
              </w:rPr>
              <w:t xml:space="preserve"> </w:t>
            </w:r>
            <w:r w:rsidRPr="00DF44FD">
              <w:rPr>
                <w:rFonts w:ascii="Lato" w:hAnsi="Lato" w:cs="Arial"/>
                <w:sz w:val="18"/>
                <w:szCs w:val="18"/>
              </w:rPr>
              <w:t>Zaburzenia zachowania spowodowane używaniem substancji psychoaktywnych mogą być czasowe, wiec nie powinny być podstawą do dyskwalifikacji stałej.</w:t>
            </w:r>
          </w:p>
          <w:p w14:paraId="796E2A94" w14:textId="77777777" w:rsidR="00DF44FD" w:rsidRPr="00DF44FD" w:rsidRDefault="00DF44FD" w:rsidP="00DF44FD">
            <w:pPr>
              <w:spacing w:line="240" w:lineRule="auto"/>
              <w:contextualSpacing/>
              <w:rPr>
                <w:rFonts w:ascii="Lato" w:hAnsi="Lato" w:cs="Arial"/>
                <w:sz w:val="18"/>
                <w:szCs w:val="18"/>
              </w:rPr>
            </w:pPr>
          </w:p>
          <w:p w14:paraId="1264766A" w14:textId="77777777" w:rsidR="00DF44FD" w:rsidRPr="00DF44FD" w:rsidRDefault="00DF44FD" w:rsidP="00DF44FD">
            <w:pPr>
              <w:spacing w:line="240" w:lineRule="auto"/>
              <w:contextualSpacing/>
              <w:rPr>
                <w:rFonts w:ascii="Lato" w:hAnsi="Lato" w:cs="Arial"/>
                <w:sz w:val="18"/>
                <w:szCs w:val="18"/>
              </w:rPr>
            </w:pPr>
          </w:p>
          <w:p w14:paraId="331F83B8" w14:textId="77777777" w:rsidR="00DF44FD" w:rsidRPr="00DF44FD" w:rsidRDefault="00DF44FD" w:rsidP="00DF44FD">
            <w:pPr>
              <w:spacing w:line="240" w:lineRule="auto"/>
              <w:contextualSpacing/>
              <w:rPr>
                <w:rFonts w:ascii="Lato" w:hAnsi="Lato" w:cs="Arial"/>
                <w:sz w:val="18"/>
                <w:szCs w:val="18"/>
              </w:rPr>
            </w:pPr>
          </w:p>
          <w:p w14:paraId="5B0D010F" w14:textId="77777777" w:rsidR="00DF44FD" w:rsidRPr="00DF44FD" w:rsidRDefault="00DF44FD" w:rsidP="00DF44FD">
            <w:pPr>
              <w:spacing w:line="240" w:lineRule="auto"/>
              <w:contextualSpacing/>
              <w:rPr>
                <w:rFonts w:ascii="Lato" w:hAnsi="Lato" w:cs="Arial"/>
                <w:sz w:val="18"/>
                <w:szCs w:val="18"/>
              </w:rPr>
            </w:pPr>
          </w:p>
          <w:p w14:paraId="1CEE86C6" w14:textId="77777777" w:rsidR="00DF44FD" w:rsidRPr="00DF44FD" w:rsidRDefault="00DF44FD" w:rsidP="00DF44FD">
            <w:pPr>
              <w:spacing w:line="240" w:lineRule="auto"/>
              <w:contextualSpacing/>
              <w:rPr>
                <w:rFonts w:ascii="Lato" w:hAnsi="Lato" w:cs="Arial"/>
                <w:sz w:val="18"/>
                <w:szCs w:val="18"/>
              </w:rPr>
            </w:pPr>
          </w:p>
          <w:p w14:paraId="05B52A1B" w14:textId="77777777" w:rsidR="00DF44FD" w:rsidRPr="00DF44FD" w:rsidRDefault="00DF44FD" w:rsidP="00DF44FD">
            <w:pPr>
              <w:spacing w:line="240" w:lineRule="auto"/>
              <w:contextualSpacing/>
              <w:rPr>
                <w:rFonts w:ascii="Lato" w:hAnsi="Lato" w:cs="Arial"/>
                <w:sz w:val="18"/>
                <w:szCs w:val="18"/>
              </w:rPr>
            </w:pPr>
          </w:p>
          <w:p w14:paraId="121D0EED" w14:textId="77777777" w:rsidR="00DF44FD" w:rsidRPr="00DF44FD" w:rsidRDefault="00DF44FD" w:rsidP="00DF44FD">
            <w:pPr>
              <w:spacing w:line="240" w:lineRule="auto"/>
              <w:contextualSpacing/>
              <w:rPr>
                <w:rFonts w:ascii="Lato" w:hAnsi="Lato" w:cs="Arial"/>
                <w:sz w:val="18"/>
                <w:szCs w:val="18"/>
              </w:rPr>
            </w:pPr>
          </w:p>
          <w:p w14:paraId="7FD247A7" w14:textId="77777777" w:rsidR="00DF44FD" w:rsidRPr="00DF44FD" w:rsidRDefault="00DF44FD" w:rsidP="00DF44FD">
            <w:pPr>
              <w:spacing w:line="240" w:lineRule="auto"/>
              <w:contextualSpacing/>
              <w:rPr>
                <w:rFonts w:ascii="Lato" w:hAnsi="Lato" w:cs="Arial"/>
                <w:sz w:val="18"/>
                <w:szCs w:val="18"/>
              </w:rPr>
            </w:pPr>
          </w:p>
          <w:p w14:paraId="4113BC4B" w14:textId="77777777" w:rsidR="00DF44FD" w:rsidRPr="00DF44FD" w:rsidRDefault="00DF44FD" w:rsidP="00DF44FD">
            <w:pPr>
              <w:spacing w:line="240" w:lineRule="auto"/>
              <w:contextualSpacing/>
              <w:rPr>
                <w:rFonts w:ascii="Lato" w:hAnsi="Lato" w:cs="Arial"/>
                <w:sz w:val="18"/>
                <w:szCs w:val="18"/>
              </w:rPr>
            </w:pPr>
          </w:p>
          <w:p w14:paraId="2D2B4F01" w14:textId="77777777" w:rsidR="00DF44FD" w:rsidRPr="00DF44FD" w:rsidRDefault="00DF44FD" w:rsidP="00DF44FD">
            <w:pPr>
              <w:spacing w:line="240" w:lineRule="auto"/>
              <w:contextualSpacing/>
              <w:rPr>
                <w:rFonts w:ascii="Lato" w:hAnsi="Lato" w:cs="Arial"/>
                <w:sz w:val="18"/>
                <w:szCs w:val="18"/>
              </w:rPr>
            </w:pPr>
          </w:p>
          <w:p w14:paraId="7182B752" w14:textId="77777777" w:rsidR="00DF44FD" w:rsidRPr="00DF44FD" w:rsidRDefault="00DF44FD" w:rsidP="00DF44FD">
            <w:pPr>
              <w:spacing w:line="240" w:lineRule="auto"/>
              <w:contextualSpacing/>
              <w:rPr>
                <w:rFonts w:ascii="Lato" w:hAnsi="Lato" w:cs="Arial"/>
                <w:sz w:val="18"/>
                <w:szCs w:val="18"/>
              </w:rPr>
            </w:pPr>
          </w:p>
          <w:p w14:paraId="3EBFBC73" w14:textId="77777777" w:rsidR="00DF44FD" w:rsidRPr="00DF44FD" w:rsidRDefault="00DF44FD" w:rsidP="00DF44FD">
            <w:pPr>
              <w:spacing w:line="240" w:lineRule="auto"/>
              <w:contextualSpacing/>
              <w:rPr>
                <w:rFonts w:ascii="Lato" w:hAnsi="Lato" w:cs="Arial"/>
                <w:sz w:val="18"/>
                <w:szCs w:val="18"/>
              </w:rPr>
            </w:pPr>
          </w:p>
          <w:p w14:paraId="5CAD64C3" w14:textId="77777777" w:rsidR="00DF44FD" w:rsidRPr="00DF44FD" w:rsidRDefault="00DF44FD" w:rsidP="00DF44FD">
            <w:pPr>
              <w:spacing w:line="240" w:lineRule="auto"/>
              <w:contextualSpacing/>
              <w:rPr>
                <w:rFonts w:ascii="Lato" w:hAnsi="Lato" w:cs="Arial"/>
                <w:sz w:val="18"/>
                <w:szCs w:val="18"/>
              </w:rPr>
            </w:pPr>
          </w:p>
          <w:p w14:paraId="02FF76A5" w14:textId="77777777" w:rsidR="00DF44FD" w:rsidRPr="00DF44FD" w:rsidRDefault="00DF44FD" w:rsidP="00DF44FD">
            <w:pPr>
              <w:spacing w:line="240" w:lineRule="auto"/>
              <w:contextualSpacing/>
              <w:rPr>
                <w:rFonts w:ascii="Lato" w:hAnsi="Lato" w:cs="Arial"/>
                <w:sz w:val="18"/>
                <w:szCs w:val="18"/>
              </w:rPr>
            </w:pPr>
          </w:p>
          <w:p w14:paraId="1D773757" w14:textId="77777777" w:rsidR="00DF44FD" w:rsidRPr="00DF44FD" w:rsidRDefault="00DF44FD" w:rsidP="00DF44FD">
            <w:pPr>
              <w:spacing w:line="240" w:lineRule="auto"/>
              <w:contextualSpacing/>
              <w:rPr>
                <w:rFonts w:ascii="Lato" w:hAnsi="Lato" w:cs="Arial"/>
                <w:sz w:val="18"/>
                <w:szCs w:val="18"/>
              </w:rPr>
            </w:pPr>
            <w:r w:rsidRPr="00DF44FD">
              <w:rPr>
                <w:rFonts w:ascii="Lato" w:hAnsi="Lato" w:cs="Arial"/>
                <w:sz w:val="18"/>
                <w:szCs w:val="18"/>
              </w:rPr>
              <w:t xml:space="preserve">Uwaga niezasadna </w:t>
            </w:r>
          </w:p>
          <w:p w14:paraId="0192BC35" w14:textId="77777777" w:rsidR="00DF44FD" w:rsidRPr="00DF44FD" w:rsidRDefault="00DF44FD" w:rsidP="00DF44FD">
            <w:pPr>
              <w:spacing w:line="240" w:lineRule="auto"/>
              <w:contextualSpacing/>
              <w:rPr>
                <w:rFonts w:ascii="Lato" w:hAnsi="Lato" w:cs="Arial"/>
                <w:sz w:val="18"/>
                <w:szCs w:val="18"/>
              </w:rPr>
            </w:pPr>
            <w:r w:rsidRPr="00DF44FD">
              <w:rPr>
                <w:rFonts w:ascii="Lato" w:hAnsi="Lato" w:cs="Arial"/>
                <w:sz w:val="18"/>
                <w:szCs w:val="18"/>
              </w:rPr>
              <w:t>Zapisy zgodne z Guide</w:t>
            </w:r>
          </w:p>
          <w:p w14:paraId="754AFF30" w14:textId="77777777" w:rsidR="00DF44FD" w:rsidRPr="00DF44FD" w:rsidRDefault="00DF44FD" w:rsidP="00DF44FD">
            <w:pPr>
              <w:spacing w:line="240" w:lineRule="auto"/>
              <w:contextualSpacing/>
              <w:rPr>
                <w:rFonts w:ascii="Lato" w:hAnsi="Lato" w:cs="Arial"/>
                <w:sz w:val="18"/>
                <w:szCs w:val="18"/>
              </w:rPr>
            </w:pPr>
          </w:p>
          <w:p w14:paraId="592CCEA5" w14:textId="77777777" w:rsidR="00DF44FD" w:rsidRPr="00DF44FD" w:rsidRDefault="00DF44FD" w:rsidP="00DF44FD">
            <w:pPr>
              <w:spacing w:line="240" w:lineRule="auto"/>
              <w:contextualSpacing/>
              <w:rPr>
                <w:rFonts w:ascii="Lato" w:hAnsi="Lato" w:cs="Arial"/>
                <w:sz w:val="18"/>
                <w:szCs w:val="18"/>
              </w:rPr>
            </w:pPr>
          </w:p>
          <w:p w14:paraId="27007F36" w14:textId="77777777" w:rsidR="00DF44FD" w:rsidRPr="00DF44FD" w:rsidRDefault="00DF44FD" w:rsidP="00DF44FD">
            <w:pPr>
              <w:spacing w:line="240" w:lineRule="auto"/>
              <w:contextualSpacing/>
              <w:rPr>
                <w:rFonts w:ascii="Lato" w:hAnsi="Lato" w:cs="Arial"/>
                <w:sz w:val="18"/>
                <w:szCs w:val="18"/>
              </w:rPr>
            </w:pPr>
          </w:p>
          <w:p w14:paraId="591D0A57" w14:textId="77777777" w:rsidR="00DF44FD" w:rsidRPr="00DF44FD" w:rsidRDefault="00DF44FD" w:rsidP="00DF44FD">
            <w:pPr>
              <w:spacing w:line="240" w:lineRule="auto"/>
              <w:contextualSpacing/>
              <w:rPr>
                <w:rFonts w:ascii="Lato" w:hAnsi="Lato" w:cs="Arial"/>
                <w:sz w:val="18"/>
                <w:szCs w:val="18"/>
              </w:rPr>
            </w:pPr>
          </w:p>
          <w:p w14:paraId="4A228FA2" w14:textId="77777777" w:rsidR="00DF44FD" w:rsidRPr="00DF44FD" w:rsidRDefault="00DF44FD" w:rsidP="00DF44FD">
            <w:pPr>
              <w:spacing w:line="240" w:lineRule="auto"/>
              <w:contextualSpacing/>
              <w:rPr>
                <w:rFonts w:ascii="Lato" w:hAnsi="Lato" w:cs="Arial"/>
                <w:sz w:val="18"/>
                <w:szCs w:val="18"/>
              </w:rPr>
            </w:pPr>
          </w:p>
          <w:p w14:paraId="2AED2680" w14:textId="77777777" w:rsidR="00DF44FD" w:rsidRPr="00DF44FD" w:rsidRDefault="00DF44FD" w:rsidP="00DF44FD">
            <w:pPr>
              <w:spacing w:line="240" w:lineRule="auto"/>
              <w:contextualSpacing/>
              <w:rPr>
                <w:rFonts w:ascii="Lato" w:hAnsi="Lato" w:cs="Arial"/>
                <w:sz w:val="18"/>
                <w:szCs w:val="18"/>
              </w:rPr>
            </w:pPr>
          </w:p>
          <w:p w14:paraId="66EABE83" w14:textId="77777777" w:rsidR="00DF44FD" w:rsidRPr="00DF44FD" w:rsidRDefault="00DF44FD" w:rsidP="00DF44FD">
            <w:pPr>
              <w:spacing w:line="240" w:lineRule="auto"/>
              <w:contextualSpacing/>
              <w:rPr>
                <w:rFonts w:ascii="Lato" w:hAnsi="Lato" w:cs="Arial"/>
                <w:sz w:val="18"/>
                <w:szCs w:val="18"/>
              </w:rPr>
            </w:pPr>
          </w:p>
          <w:p w14:paraId="569B8267" w14:textId="77777777" w:rsidR="00DF44FD" w:rsidRPr="00DF44FD" w:rsidRDefault="00DF44FD" w:rsidP="00DF44FD">
            <w:pPr>
              <w:spacing w:line="240" w:lineRule="auto"/>
              <w:contextualSpacing/>
              <w:rPr>
                <w:rFonts w:ascii="Lato" w:hAnsi="Lato" w:cs="Arial"/>
                <w:sz w:val="18"/>
                <w:szCs w:val="18"/>
              </w:rPr>
            </w:pPr>
          </w:p>
          <w:p w14:paraId="26E688F4" w14:textId="77777777" w:rsidR="00DF44FD" w:rsidRPr="00DF44FD" w:rsidRDefault="00DF44FD" w:rsidP="00DF44FD">
            <w:pPr>
              <w:spacing w:line="240" w:lineRule="auto"/>
              <w:contextualSpacing/>
              <w:rPr>
                <w:rFonts w:ascii="Lato" w:hAnsi="Lato" w:cs="Arial"/>
                <w:sz w:val="18"/>
                <w:szCs w:val="18"/>
              </w:rPr>
            </w:pPr>
          </w:p>
          <w:p w14:paraId="7520C2D1" w14:textId="77777777" w:rsidR="00DF44FD" w:rsidRPr="00DF44FD" w:rsidRDefault="00DF44FD" w:rsidP="00DF44FD">
            <w:pPr>
              <w:spacing w:line="240" w:lineRule="auto"/>
              <w:contextualSpacing/>
              <w:rPr>
                <w:rFonts w:ascii="Lato" w:hAnsi="Lato" w:cs="Arial"/>
                <w:sz w:val="18"/>
                <w:szCs w:val="18"/>
              </w:rPr>
            </w:pPr>
          </w:p>
          <w:p w14:paraId="04DEC563" w14:textId="77777777" w:rsidR="00DF44FD" w:rsidRPr="00DF44FD" w:rsidRDefault="00DF44FD" w:rsidP="00DF44FD">
            <w:pPr>
              <w:spacing w:line="240" w:lineRule="auto"/>
              <w:contextualSpacing/>
              <w:rPr>
                <w:rFonts w:ascii="Lato" w:hAnsi="Lato" w:cs="Arial"/>
                <w:sz w:val="18"/>
                <w:szCs w:val="18"/>
              </w:rPr>
            </w:pPr>
          </w:p>
          <w:p w14:paraId="71472B5F" w14:textId="77777777" w:rsidR="00DF44FD" w:rsidRPr="00DF44FD" w:rsidRDefault="00DF44FD" w:rsidP="00DF44FD">
            <w:pPr>
              <w:spacing w:line="240" w:lineRule="auto"/>
              <w:contextualSpacing/>
              <w:rPr>
                <w:rFonts w:ascii="Lato" w:hAnsi="Lato" w:cs="Arial"/>
                <w:sz w:val="18"/>
                <w:szCs w:val="18"/>
              </w:rPr>
            </w:pPr>
          </w:p>
          <w:p w14:paraId="5257D57F" w14:textId="77777777" w:rsidR="00DF44FD" w:rsidRPr="00DF44FD" w:rsidRDefault="00DF44FD" w:rsidP="00DF44FD">
            <w:pPr>
              <w:spacing w:line="240" w:lineRule="auto"/>
              <w:contextualSpacing/>
              <w:rPr>
                <w:rFonts w:ascii="Lato" w:hAnsi="Lato" w:cs="Arial"/>
                <w:sz w:val="18"/>
                <w:szCs w:val="18"/>
              </w:rPr>
            </w:pPr>
          </w:p>
          <w:p w14:paraId="0EA637E4" w14:textId="77777777" w:rsidR="00DF44FD" w:rsidRPr="00DF44FD" w:rsidRDefault="00DF44FD" w:rsidP="00DF44FD">
            <w:pPr>
              <w:spacing w:line="240" w:lineRule="auto"/>
              <w:contextualSpacing/>
              <w:rPr>
                <w:rFonts w:ascii="Lato" w:hAnsi="Lato" w:cs="Arial"/>
                <w:sz w:val="18"/>
                <w:szCs w:val="18"/>
              </w:rPr>
            </w:pPr>
          </w:p>
          <w:p w14:paraId="19BAD5A3" w14:textId="77777777" w:rsidR="00DF44FD" w:rsidRPr="00DF44FD" w:rsidRDefault="00DF44FD" w:rsidP="00DF44FD">
            <w:pPr>
              <w:spacing w:line="240" w:lineRule="auto"/>
              <w:contextualSpacing/>
              <w:rPr>
                <w:rFonts w:ascii="Lato" w:hAnsi="Lato" w:cs="Arial"/>
                <w:sz w:val="18"/>
                <w:szCs w:val="18"/>
              </w:rPr>
            </w:pPr>
          </w:p>
          <w:p w14:paraId="2FA27D59" w14:textId="77777777" w:rsidR="00DF44FD" w:rsidRPr="00DF44FD" w:rsidRDefault="00DF44FD" w:rsidP="00DF44FD">
            <w:pPr>
              <w:spacing w:line="240" w:lineRule="auto"/>
              <w:contextualSpacing/>
              <w:rPr>
                <w:rFonts w:ascii="Lato" w:hAnsi="Lato" w:cs="Arial"/>
                <w:sz w:val="18"/>
                <w:szCs w:val="18"/>
              </w:rPr>
            </w:pPr>
          </w:p>
          <w:p w14:paraId="07AF7C7A" w14:textId="77777777" w:rsidR="00DF44FD" w:rsidRPr="00DF44FD" w:rsidRDefault="00DF44FD" w:rsidP="00DF44FD">
            <w:pPr>
              <w:spacing w:line="240" w:lineRule="auto"/>
              <w:contextualSpacing/>
              <w:rPr>
                <w:rFonts w:ascii="Lato" w:hAnsi="Lato" w:cs="Arial"/>
                <w:sz w:val="18"/>
                <w:szCs w:val="18"/>
              </w:rPr>
            </w:pPr>
          </w:p>
          <w:p w14:paraId="7247102F" w14:textId="77777777" w:rsidR="00DF44FD" w:rsidRPr="00DF44FD" w:rsidRDefault="00DF44FD" w:rsidP="00DF44FD">
            <w:pPr>
              <w:spacing w:line="240" w:lineRule="auto"/>
              <w:contextualSpacing/>
              <w:rPr>
                <w:rFonts w:ascii="Lato" w:hAnsi="Lato" w:cs="Arial"/>
                <w:sz w:val="18"/>
                <w:szCs w:val="18"/>
              </w:rPr>
            </w:pPr>
          </w:p>
          <w:p w14:paraId="2B44E04C" w14:textId="77777777" w:rsidR="00DF44FD" w:rsidRPr="00DF44FD" w:rsidRDefault="00DF44FD" w:rsidP="00DF44FD">
            <w:pPr>
              <w:spacing w:line="240" w:lineRule="auto"/>
              <w:contextualSpacing/>
              <w:rPr>
                <w:rFonts w:ascii="Lato" w:hAnsi="Lato" w:cs="Arial"/>
                <w:sz w:val="18"/>
                <w:szCs w:val="18"/>
              </w:rPr>
            </w:pPr>
          </w:p>
          <w:p w14:paraId="0C5D9BF4" w14:textId="77777777" w:rsidR="00DF44FD" w:rsidRPr="00DF44FD" w:rsidRDefault="00DF44FD" w:rsidP="00DF44FD">
            <w:pPr>
              <w:spacing w:line="240" w:lineRule="auto"/>
              <w:contextualSpacing/>
              <w:rPr>
                <w:rFonts w:ascii="Lato" w:hAnsi="Lato" w:cs="Arial"/>
                <w:sz w:val="18"/>
                <w:szCs w:val="18"/>
              </w:rPr>
            </w:pPr>
          </w:p>
          <w:p w14:paraId="7E349908" w14:textId="77777777" w:rsidR="00DF44FD" w:rsidRPr="00DF44FD" w:rsidRDefault="00DF44FD" w:rsidP="00DF44FD">
            <w:pPr>
              <w:spacing w:line="240" w:lineRule="auto"/>
              <w:contextualSpacing/>
              <w:rPr>
                <w:rFonts w:ascii="Lato" w:hAnsi="Lato" w:cs="Arial"/>
                <w:sz w:val="18"/>
                <w:szCs w:val="18"/>
              </w:rPr>
            </w:pPr>
          </w:p>
          <w:p w14:paraId="42DFCD5B" w14:textId="77777777" w:rsidR="00DF44FD" w:rsidRPr="00DF44FD" w:rsidRDefault="00DF44FD" w:rsidP="00DF44FD">
            <w:pPr>
              <w:spacing w:line="240" w:lineRule="auto"/>
              <w:contextualSpacing/>
              <w:rPr>
                <w:rFonts w:ascii="Lato" w:hAnsi="Lato" w:cs="Arial"/>
                <w:sz w:val="18"/>
                <w:szCs w:val="18"/>
              </w:rPr>
            </w:pPr>
          </w:p>
          <w:p w14:paraId="1ED5E2DE" w14:textId="77777777" w:rsidR="00DF44FD" w:rsidRPr="00DF44FD" w:rsidRDefault="00DF44FD" w:rsidP="00DF44FD">
            <w:pPr>
              <w:spacing w:line="240" w:lineRule="auto"/>
              <w:contextualSpacing/>
              <w:rPr>
                <w:rFonts w:ascii="Lato" w:hAnsi="Lato" w:cs="Arial"/>
                <w:sz w:val="18"/>
                <w:szCs w:val="18"/>
              </w:rPr>
            </w:pPr>
          </w:p>
          <w:p w14:paraId="0E6D2B14" w14:textId="77777777" w:rsidR="00DF44FD" w:rsidRPr="00DF44FD" w:rsidRDefault="00DF44FD" w:rsidP="00DF44FD">
            <w:pPr>
              <w:spacing w:line="240" w:lineRule="auto"/>
              <w:contextualSpacing/>
              <w:rPr>
                <w:rFonts w:ascii="Lato" w:hAnsi="Lato" w:cs="Arial"/>
                <w:sz w:val="18"/>
                <w:szCs w:val="18"/>
              </w:rPr>
            </w:pPr>
          </w:p>
          <w:p w14:paraId="0D1A5C3C" w14:textId="77777777" w:rsidR="00DF44FD" w:rsidRPr="00DF44FD" w:rsidRDefault="00DF44FD" w:rsidP="00DF44FD">
            <w:pPr>
              <w:spacing w:line="240" w:lineRule="auto"/>
              <w:contextualSpacing/>
              <w:rPr>
                <w:rFonts w:ascii="Lato" w:hAnsi="Lato" w:cs="Arial"/>
                <w:sz w:val="18"/>
                <w:szCs w:val="18"/>
              </w:rPr>
            </w:pPr>
          </w:p>
          <w:p w14:paraId="47512597" w14:textId="77777777" w:rsidR="00DF44FD" w:rsidRPr="00DF44FD" w:rsidRDefault="00DF44FD" w:rsidP="00DF44FD">
            <w:pPr>
              <w:spacing w:line="240" w:lineRule="auto"/>
              <w:contextualSpacing/>
              <w:rPr>
                <w:rFonts w:ascii="Lato" w:hAnsi="Lato" w:cs="Arial"/>
                <w:sz w:val="18"/>
                <w:szCs w:val="18"/>
              </w:rPr>
            </w:pPr>
          </w:p>
          <w:p w14:paraId="0F1BE9C0" w14:textId="77777777" w:rsidR="00DF44FD" w:rsidRPr="00DF44FD" w:rsidRDefault="00DF44FD" w:rsidP="00DF44FD">
            <w:pPr>
              <w:spacing w:line="240" w:lineRule="auto"/>
              <w:contextualSpacing/>
              <w:rPr>
                <w:rFonts w:ascii="Lato" w:hAnsi="Lato" w:cs="Arial"/>
                <w:sz w:val="18"/>
                <w:szCs w:val="18"/>
              </w:rPr>
            </w:pPr>
          </w:p>
          <w:p w14:paraId="3CE320B3" w14:textId="77777777" w:rsidR="00DF44FD" w:rsidRPr="00DF44FD" w:rsidRDefault="00DF44FD" w:rsidP="00DF44FD">
            <w:pPr>
              <w:spacing w:line="240" w:lineRule="auto"/>
              <w:contextualSpacing/>
              <w:rPr>
                <w:rFonts w:ascii="Lato" w:hAnsi="Lato" w:cs="Arial"/>
                <w:sz w:val="18"/>
                <w:szCs w:val="18"/>
              </w:rPr>
            </w:pPr>
          </w:p>
          <w:p w14:paraId="706A4479" w14:textId="77777777" w:rsidR="00DF44FD" w:rsidRPr="00DF44FD" w:rsidRDefault="00DF44FD" w:rsidP="00DF44FD">
            <w:pPr>
              <w:spacing w:line="240" w:lineRule="auto"/>
              <w:contextualSpacing/>
              <w:rPr>
                <w:rFonts w:ascii="Lato" w:hAnsi="Lato" w:cs="Arial"/>
                <w:sz w:val="18"/>
                <w:szCs w:val="18"/>
              </w:rPr>
            </w:pPr>
          </w:p>
          <w:p w14:paraId="37D1C0CE" w14:textId="77777777" w:rsidR="00DF44FD" w:rsidRPr="00DF44FD" w:rsidRDefault="00DF44FD" w:rsidP="00DF44FD">
            <w:pPr>
              <w:spacing w:line="240" w:lineRule="auto"/>
              <w:contextualSpacing/>
              <w:rPr>
                <w:rFonts w:ascii="Lato" w:hAnsi="Lato" w:cs="Arial"/>
                <w:sz w:val="18"/>
                <w:szCs w:val="18"/>
              </w:rPr>
            </w:pPr>
          </w:p>
          <w:p w14:paraId="04DE7994" w14:textId="77777777" w:rsidR="00DF44FD" w:rsidRPr="00DF44FD" w:rsidRDefault="00DF44FD" w:rsidP="00DF44FD">
            <w:pPr>
              <w:spacing w:line="240" w:lineRule="auto"/>
              <w:contextualSpacing/>
              <w:rPr>
                <w:rFonts w:ascii="Lato" w:hAnsi="Lato" w:cs="Arial"/>
                <w:sz w:val="18"/>
                <w:szCs w:val="18"/>
              </w:rPr>
            </w:pPr>
          </w:p>
          <w:p w14:paraId="65EAD4F7" w14:textId="77777777" w:rsidR="00DF44FD" w:rsidRPr="00DF44FD" w:rsidRDefault="00DF44FD" w:rsidP="00DF44FD">
            <w:pPr>
              <w:spacing w:line="240" w:lineRule="auto"/>
              <w:contextualSpacing/>
              <w:rPr>
                <w:rFonts w:ascii="Lato" w:hAnsi="Lato" w:cs="Arial"/>
                <w:sz w:val="18"/>
                <w:szCs w:val="18"/>
              </w:rPr>
            </w:pPr>
          </w:p>
          <w:p w14:paraId="7CF8FC64" w14:textId="77777777" w:rsidR="00DF44FD" w:rsidRPr="00DF44FD" w:rsidRDefault="00DF44FD" w:rsidP="00DF44FD">
            <w:pPr>
              <w:spacing w:line="240" w:lineRule="auto"/>
              <w:contextualSpacing/>
              <w:rPr>
                <w:rFonts w:ascii="Lato" w:hAnsi="Lato" w:cs="Arial"/>
                <w:sz w:val="18"/>
                <w:szCs w:val="18"/>
              </w:rPr>
            </w:pPr>
          </w:p>
          <w:p w14:paraId="76F78169" w14:textId="77777777" w:rsidR="00DF44FD" w:rsidRPr="00DF44FD" w:rsidRDefault="00DF44FD" w:rsidP="00DF44FD">
            <w:pPr>
              <w:spacing w:line="240" w:lineRule="auto"/>
              <w:contextualSpacing/>
              <w:rPr>
                <w:rFonts w:ascii="Lato" w:hAnsi="Lato" w:cs="Arial"/>
                <w:sz w:val="18"/>
                <w:szCs w:val="18"/>
              </w:rPr>
            </w:pPr>
          </w:p>
          <w:p w14:paraId="102C875E" w14:textId="77777777" w:rsidR="00DF44FD" w:rsidRPr="00DF44FD" w:rsidRDefault="00DF44FD" w:rsidP="00DF44FD">
            <w:pPr>
              <w:spacing w:line="240" w:lineRule="auto"/>
              <w:contextualSpacing/>
              <w:rPr>
                <w:rFonts w:ascii="Lato" w:hAnsi="Lato" w:cs="Arial"/>
                <w:sz w:val="18"/>
                <w:szCs w:val="18"/>
              </w:rPr>
            </w:pPr>
          </w:p>
          <w:p w14:paraId="1751DC1F" w14:textId="77777777" w:rsidR="00DF44FD" w:rsidRPr="00DF44FD" w:rsidRDefault="00DF44FD" w:rsidP="00DF44FD">
            <w:pPr>
              <w:spacing w:line="240" w:lineRule="auto"/>
              <w:contextualSpacing/>
              <w:rPr>
                <w:rFonts w:ascii="Lato" w:hAnsi="Lato" w:cs="Arial"/>
                <w:sz w:val="18"/>
                <w:szCs w:val="18"/>
              </w:rPr>
            </w:pPr>
          </w:p>
          <w:p w14:paraId="3A7642DD" w14:textId="77777777" w:rsidR="00DF44FD" w:rsidRPr="00DF44FD" w:rsidRDefault="00DF44FD" w:rsidP="00DF44FD">
            <w:pPr>
              <w:spacing w:line="240" w:lineRule="auto"/>
              <w:contextualSpacing/>
              <w:rPr>
                <w:rFonts w:ascii="Lato" w:hAnsi="Lato" w:cs="Arial"/>
                <w:sz w:val="18"/>
                <w:szCs w:val="18"/>
              </w:rPr>
            </w:pPr>
          </w:p>
          <w:p w14:paraId="65EFFB90" w14:textId="77777777" w:rsidR="00DF44FD" w:rsidRPr="00DF44FD" w:rsidRDefault="00DF44FD" w:rsidP="00DF44FD">
            <w:pPr>
              <w:spacing w:line="240" w:lineRule="auto"/>
              <w:contextualSpacing/>
              <w:rPr>
                <w:rFonts w:ascii="Lato" w:hAnsi="Lato" w:cs="Arial"/>
                <w:sz w:val="18"/>
                <w:szCs w:val="18"/>
              </w:rPr>
            </w:pPr>
          </w:p>
          <w:p w14:paraId="4292B700" w14:textId="77777777" w:rsidR="00DF44FD" w:rsidRPr="00DF44FD" w:rsidRDefault="00DF44FD" w:rsidP="00DF44FD">
            <w:pPr>
              <w:spacing w:line="240" w:lineRule="auto"/>
              <w:contextualSpacing/>
              <w:rPr>
                <w:rFonts w:ascii="Lato" w:hAnsi="Lato" w:cs="Arial"/>
                <w:sz w:val="18"/>
                <w:szCs w:val="18"/>
              </w:rPr>
            </w:pPr>
          </w:p>
          <w:p w14:paraId="1183663A" w14:textId="77777777" w:rsidR="00DF44FD" w:rsidRPr="00DF44FD" w:rsidRDefault="00DF44FD" w:rsidP="00DF44FD">
            <w:pPr>
              <w:spacing w:line="240" w:lineRule="auto"/>
              <w:contextualSpacing/>
              <w:rPr>
                <w:rFonts w:ascii="Lato" w:hAnsi="Lato" w:cs="Arial"/>
                <w:sz w:val="18"/>
                <w:szCs w:val="18"/>
              </w:rPr>
            </w:pPr>
          </w:p>
          <w:p w14:paraId="78F56FC5" w14:textId="77777777" w:rsidR="00DF44FD" w:rsidRPr="00DF44FD" w:rsidRDefault="00DF44FD" w:rsidP="00DF44FD">
            <w:pPr>
              <w:spacing w:line="240" w:lineRule="auto"/>
              <w:contextualSpacing/>
              <w:rPr>
                <w:rFonts w:ascii="Lato" w:hAnsi="Lato" w:cs="Arial"/>
                <w:sz w:val="18"/>
                <w:szCs w:val="18"/>
              </w:rPr>
            </w:pPr>
          </w:p>
          <w:p w14:paraId="7ACDDB50" w14:textId="77777777" w:rsidR="00DF44FD" w:rsidRPr="00DF44FD" w:rsidRDefault="00DF44FD" w:rsidP="00DF44FD">
            <w:pPr>
              <w:spacing w:line="240" w:lineRule="auto"/>
              <w:contextualSpacing/>
              <w:rPr>
                <w:rFonts w:ascii="Lato" w:hAnsi="Lato" w:cs="Arial"/>
                <w:sz w:val="18"/>
                <w:szCs w:val="18"/>
              </w:rPr>
            </w:pPr>
          </w:p>
          <w:p w14:paraId="46638AEB" w14:textId="77777777" w:rsidR="00DF44FD" w:rsidRPr="00DF44FD" w:rsidRDefault="00DF44FD" w:rsidP="00DF44FD">
            <w:pPr>
              <w:spacing w:line="240" w:lineRule="auto"/>
              <w:contextualSpacing/>
              <w:rPr>
                <w:rFonts w:ascii="Lato" w:hAnsi="Lato" w:cs="Arial"/>
                <w:sz w:val="18"/>
                <w:szCs w:val="18"/>
              </w:rPr>
            </w:pPr>
          </w:p>
          <w:p w14:paraId="73D520C6" w14:textId="77777777" w:rsidR="00DF44FD" w:rsidRPr="00DF44FD" w:rsidRDefault="00DF44FD" w:rsidP="00DF44FD">
            <w:pPr>
              <w:spacing w:line="240" w:lineRule="auto"/>
              <w:contextualSpacing/>
              <w:rPr>
                <w:rFonts w:ascii="Lato" w:hAnsi="Lato" w:cs="Arial"/>
                <w:sz w:val="18"/>
                <w:szCs w:val="18"/>
              </w:rPr>
            </w:pPr>
            <w:r w:rsidRPr="00DF44FD">
              <w:rPr>
                <w:rFonts w:ascii="Lato" w:hAnsi="Lato" w:cs="Arial"/>
                <w:sz w:val="18"/>
                <w:szCs w:val="18"/>
              </w:rPr>
              <w:t xml:space="preserve">Uwaga niezasadna </w:t>
            </w:r>
          </w:p>
          <w:p w14:paraId="5257501A" w14:textId="77777777" w:rsidR="00DF44FD" w:rsidRPr="00DF44FD" w:rsidRDefault="00DF44FD" w:rsidP="00DF44FD">
            <w:pPr>
              <w:spacing w:line="240" w:lineRule="auto"/>
              <w:contextualSpacing/>
              <w:rPr>
                <w:rFonts w:ascii="Lato" w:hAnsi="Lato" w:cs="Arial"/>
                <w:sz w:val="18"/>
                <w:szCs w:val="18"/>
              </w:rPr>
            </w:pPr>
            <w:r w:rsidRPr="00DF44FD">
              <w:rPr>
                <w:rFonts w:ascii="Lato" w:hAnsi="Lato" w:cs="Arial"/>
                <w:sz w:val="18"/>
                <w:szCs w:val="18"/>
              </w:rPr>
              <w:t>G-CSF podawany dawcom jest czynnikiem krótko działającym. Pobranie PBSC i DLI nie wpływa na układ odpornościowy dawcy i nie zostaje upośledzony układ krwiotwórczy.</w:t>
            </w:r>
          </w:p>
        </w:tc>
      </w:tr>
      <w:tr w:rsidR="00DF44FD" w14:paraId="05189381" w14:textId="77777777" w:rsidTr="00DF44FD">
        <w:trPr>
          <w:trHeight w:val="276"/>
        </w:trPr>
        <w:tc>
          <w:tcPr>
            <w:tcW w:w="562" w:type="dxa"/>
            <w:tcBorders>
              <w:top w:val="single" w:sz="4" w:space="0" w:color="auto"/>
              <w:left w:val="single" w:sz="4" w:space="0" w:color="auto"/>
              <w:bottom w:val="single" w:sz="4" w:space="0" w:color="auto"/>
              <w:right w:val="single" w:sz="4" w:space="0" w:color="auto"/>
            </w:tcBorders>
            <w:vAlign w:val="center"/>
          </w:tcPr>
          <w:p w14:paraId="3B8659C6" w14:textId="77777777" w:rsidR="00DF44FD" w:rsidRDefault="00DF44FD" w:rsidP="00DF44FD">
            <w:pPr>
              <w:pStyle w:val="Akapitzlist"/>
              <w:numPr>
                <w:ilvl w:val="0"/>
                <w:numId w:val="21"/>
              </w:numPr>
              <w:spacing w:after="0" w:line="240" w:lineRule="auto"/>
              <w:jc w:val="center"/>
              <w:rPr>
                <w:rFonts w:ascii="Arial" w:hAnsi="Arial" w:cs="Arial"/>
                <w:b/>
                <w:noProof/>
                <w:sz w:val="18"/>
                <w:szCs w:val="18"/>
              </w:rPr>
            </w:pPr>
          </w:p>
        </w:tc>
        <w:tc>
          <w:tcPr>
            <w:tcW w:w="1986" w:type="dxa"/>
            <w:tcBorders>
              <w:top w:val="single" w:sz="4" w:space="0" w:color="auto"/>
              <w:left w:val="single" w:sz="4" w:space="0" w:color="auto"/>
              <w:bottom w:val="single" w:sz="4" w:space="0" w:color="auto"/>
              <w:right w:val="single" w:sz="4" w:space="0" w:color="auto"/>
            </w:tcBorders>
            <w:vAlign w:val="center"/>
          </w:tcPr>
          <w:p w14:paraId="2C2EE32A" w14:textId="77777777" w:rsidR="00DF44FD" w:rsidRDefault="00DF44FD" w:rsidP="00DF44FD">
            <w:pPr>
              <w:spacing w:line="240" w:lineRule="auto"/>
              <w:contextualSpacing/>
              <w:jc w:val="center"/>
              <w:rPr>
                <w:rFonts w:ascii="Arial" w:hAnsi="Arial" w:cs="Arial"/>
                <w:b/>
                <w:sz w:val="18"/>
                <w:szCs w:val="18"/>
              </w:rPr>
            </w:pPr>
            <w:proofErr w:type="spellStart"/>
            <w:r>
              <w:rPr>
                <w:rFonts w:ascii="Arial" w:hAnsi="Arial" w:cs="Arial"/>
                <w:b/>
                <w:sz w:val="18"/>
                <w:szCs w:val="18"/>
              </w:rPr>
              <w:t>RCKiK</w:t>
            </w:r>
            <w:proofErr w:type="spellEnd"/>
            <w:r>
              <w:rPr>
                <w:rFonts w:ascii="Arial" w:hAnsi="Arial" w:cs="Arial"/>
                <w:b/>
                <w:sz w:val="18"/>
                <w:szCs w:val="18"/>
              </w:rPr>
              <w:t xml:space="preserve"> Białystok</w:t>
            </w:r>
          </w:p>
        </w:tc>
        <w:tc>
          <w:tcPr>
            <w:tcW w:w="8646" w:type="dxa"/>
            <w:tcBorders>
              <w:top w:val="single" w:sz="4" w:space="0" w:color="auto"/>
              <w:left w:val="single" w:sz="4" w:space="0" w:color="auto"/>
              <w:bottom w:val="single" w:sz="4" w:space="0" w:color="auto"/>
              <w:right w:val="single" w:sz="4" w:space="0" w:color="auto"/>
            </w:tcBorders>
          </w:tcPr>
          <w:p w14:paraId="1DCD7AC2" w14:textId="77777777" w:rsidR="00DF44FD" w:rsidRPr="00DF44FD" w:rsidRDefault="00DF44FD" w:rsidP="00DF44FD">
            <w:pPr>
              <w:numPr>
                <w:ilvl w:val="0"/>
                <w:numId w:val="25"/>
              </w:numPr>
              <w:spacing w:after="0" w:line="259" w:lineRule="auto"/>
              <w:contextualSpacing/>
              <w:rPr>
                <w:rFonts w:ascii="Lato" w:hAnsi="Lato"/>
                <w:b/>
                <w:bCs/>
                <w:kern w:val="2"/>
                <w:sz w:val="18"/>
                <w:szCs w:val="18"/>
                <w14:ligatures w14:val="standardContextual"/>
              </w:rPr>
            </w:pPr>
            <w:r w:rsidRPr="00DF44FD">
              <w:rPr>
                <w:rFonts w:ascii="Lato" w:hAnsi="Lato"/>
                <w:b/>
                <w:bCs/>
                <w:kern w:val="2"/>
                <w:sz w:val="18"/>
                <w:szCs w:val="18"/>
                <w14:ligatures w14:val="standardContextual"/>
              </w:rPr>
              <w:t>W par.1 ust 5</w:t>
            </w:r>
          </w:p>
          <w:p w14:paraId="6EEB164D" w14:textId="77777777" w:rsidR="00DF44FD" w:rsidRPr="00DF44FD" w:rsidRDefault="00DF44FD" w:rsidP="00DF44FD">
            <w:pPr>
              <w:autoSpaceDE w:val="0"/>
              <w:autoSpaceDN w:val="0"/>
              <w:adjustRightInd w:val="0"/>
              <w:spacing w:after="0" w:line="240" w:lineRule="auto"/>
              <w:rPr>
                <w:rFonts w:ascii="Lato" w:hAnsi="Lato"/>
                <w:b/>
                <w:bCs/>
                <w:kern w:val="2"/>
                <w:sz w:val="18"/>
                <w:szCs w:val="18"/>
                <w14:ligatures w14:val="standardContextual"/>
              </w:rPr>
            </w:pPr>
            <w:r w:rsidRPr="00DF44FD">
              <w:rPr>
                <w:rFonts w:ascii="Lato" w:hAnsi="Lato"/>
                <w:b/>
                <w:bCs/>
                <w:kern w:val="2"/>
                <w:sz w:val="18"/>
                <w:szCs w:val="18"/>
                <w14:ligatures w14:val="standardContextual"/>
              </w:rPr>
              <w:t xml:space="preserve">Jest: </w:t>
            </w:r>
          </w:p>
          <w:p w14:paraId="4BC38028" w14:textId="77777777" w:rsidR="00DF44FD" w:rsidRPr="00DF44FD" w:rsidRDefault="00DF44FD" w:rsidP="00DF44FD">
            <w:pPr>
              <w:autoSpaceDE w:val="0"/>
              <w:autoSpaceDN w:val="0"/>
              <w:adjustRightInd w:val="0"/>
              <w:spacing w:after="0" w:line="240" w:lineRule="auto"/>
              <w:rPr>
                <w:rFonts w:ascii="Lato" w:hAnsi="Lato"/>
                <w:sz w:val="18"/>
                <w:szCs w:val="18"/>
                <w14:ligatures w14:val="standardContextual"/>
              </w:rPr>
            </w:pPr>
            <w:r w:rsidRPr="00DF44FD">
              <w:rPr>
                <w:rFonts w:ascii="Lato" w:hAnsi="Lato"/>
                <w:sz w:val="18"/>
                <w:szCs w:val="18"/>
                <w14:ligatures w14:val="standardContextual"/>
              </w:rPr>
              <w:t>„w załączniku nr 2:</w:t>
            </w:r>
          </w:p>
          <w:p w14:paraId="261865DC" w14:textId="77777777" w:rsidR="00DF44FD" w:rsidRPr="00DF44FD" w:rsidRDefault="00DF44FD" w:rsidP="00DF44FD">
            <w:pPr>
              <w:autoSpaceDE w:val="0"/>
              <w:autoSpaceDN w:val="0"/>
              <w:adjustRightInd w:val="0"/>
              <w:spacing w:after="0" w:line="240" w:lineRule="auto"/>
              <w:rPr>
                <w:rFonts w:ascii="Lato" w:hAnsi="Lato"/>
                <w:sz w:val="18"/>
                <w:szCs w:val="18"/>
                <w14:ligatures w14:val="standardContextual"/>
              </w:rPr>
            </w:pPr>
            <w:r w:rsidRPr="00DF44FD">
              <w:rPr>
                <w:rFonts w:ascii="Lato" w:hAnsi="Lato"/>
                <w:sz w:val="18"/>
                <w:szCs w:val="18"/>
                <w14:ligatures w14:val="standardContextual"/>
              </w:rPr>
              <w:t>a) w pkt 1.1. „Wiek i badanie przedmiotowe” w lp. 3 kolumna 3 „Szczegółowy opis</w:t>
            </w:r>
          </w:p>
          <w:p w14:paraId="11086EE8" w14:textId="77777777" w:rsidR="00DF44FD" w:rsidRPr="00DF44FD" w:rsidRDefault="00DF44FD" w:rsidP="00DF44FD">
            <w:pPr>
              <w:autoSpaceDE w:val="0"/>
              <w:autoSpaceDN w:val="0"/>
              <w:adjustRightInd w:val="0"/>
              <w:spacing w:after="0" w:line="240" w:lineRule="auto"/>
              <w:rPr>
                <w:rFonts w:ascii="Lato" w:hAnsi="Lato"/>
                <w:sz w:val="18"/>
                <w:szCs w:val="18"/>
                <w14:ligatures w14:val="standardContextual"/>
              </w:rPr>
            </w:pPr>
            <w:r w:rsidRPr="00DF44FD">
              <w:rPr>
                <w:rFonts w:ascii="Lato" w:hAnsi="Lato"/>
                <w:sz w:val="18"/>
                <w:szCs w:val="18"/>
                <w14:ligatures w14:val="standardContextual"/>
              </w:rPr>
              <w:t>kryterium oraz warunku kwalifikowania do pobierania krwi od kandydata na dawcę</w:t>
            </w:r>
          </w:p>
          <w:p w14:paraId="0B9386C9" w14:textId="77777777" w:rsidR="00DF44FD" w:rsidRPr="00DF44FD" w:rsidRDefault="00DF44FD" w:rsidP="00DF44FD">
            <w:pPr>
              <w:autoSpaceDE w:val="0"/>
              <w:autoSpaceDN w:val="0"/>
              <w:adjustRightInd w:val="0"/>
              <w:spacing w:after="0" w:line="240" w:lineRule="auto"/>
              <w:rPr>
                <w:rFonts w:ascii="Lato" w:hAnsi="Lato"/>
                <w:sz w:val="18"/>
                <w:szCs w:val="18"/>
                <w14:ligatures w14:val="standardContextual"/>
              </w:rPr>
            </w:pPr>
            <w:r w:rsidRPr="00DF44FD">
              <w:rPr>
                <w:rFonts w:ascii="Lato" w:hAnsi="Lato"/>
                <w:sz w:val="18"/>
                <w:szCs w:val="18"/>
                <w14:ligatures w14:val="standardContextual"/>
              </w:rPr>
              <w:t>krwi lub dawcy krwi” otrzymuje brzmienie:</w:t>
            </w:r>
          </w:p>
          <w:p w14:paraId="35A691F4" w14:textId="77777777" w:rsidR="00DF44FD" w:rsidRPr="00DF44FD" w:rsidRDefault="00DF44FD" w:rsidP="00DF44FD">
            <w:pPr>
              <w:autoSpaceDE w:val="0"/>
              <w:autoSpaceDN w:val="0"/>
              <w:adjustRightInd w:val="0"/>
              <w:spacing w:after="0" w:line="240" w:lineRule="auto"/>
              <w:rPr>
                <w:rFonts w:ascii="Lato" w:hAnsi="Lato"/>
                <w:sz w:val="18"/>
                <w:szCs w:val="18"/>
                <w14:ligatures w14:val="standardContextual"/>
              </w:rPr>
            </w:pPr>
            <w:r w:rsidRPr="00DF44FD">
              <w:rPr>
                <w:rFonts w:ascii="Lato" w:hAnsi="Lato"/>
                <w:sz w:val="18"/>
                <w:szCs w:val="18"/>
                <w14:ligatures w14:val="standardContextual"/>
              </w:rPr>
              <w:t>„Wartość ciśnienia tętniczego nie powinna przekraczać:</w:t>
            </w:r>
          </w:p>
          <w:p w14:paraId="523A1BAD" w14:textId="77777777" w:rsidR="00DF44FD" w:rsidRPr="00DF44FD" w:rsidRDefault="00DF44FD" w:rsidP="00DF44FD">
            <w:pPr>
              <w:autoSpaceDE w:val="0"/>
              <w:autoSpaceDN w:val="0"/>
              <w:adjustRightInd w:val="0"/>
              <w:spacing w:after="0" w:line="240" w:lineRule="auto"/>
              <w:rPr>
                <w:rFonts w:ascii="Lato" w:hAnsi="Lato"/>
                <w:sz w:val="18"/>
                <w:szCs w:val="18"/>
                <w14:ligatures w14:val="standardContextual"/>
              </w:rPr>
            </w:pPr>
            <w:r w:rsidRPr="00DF44FD">
              <w:rPr>
                <w:rFonts w:ascii="Lato" w:hAnsi="Lato"/>
                <w:sz w:val="18"/>
                <w:szCs w:val="18"/>
                <w14:ligatures w14:val="standardContextual"/>
              </w:rPr>
              <w:t>160 mm Hg dla ciśnienia skurczowego;</w:t>
            </w:r>
          </w:p>
          <w:p w14:paraId="1A44941E" w14:textId="77777777" w:rsidR="00DF44FD" w:rsidRPr="00DF44FD" w:rsidRDefault="00DF44FD" w:rsidP="00DF44FD">
            <w:pPr>
              <w:spacing w:after="0"/>
              <w:rPr>
                <w:rFonts w:ascii="Lato" w:hAnsi="Lato"/>
                <w:kern w:val="2"/>
                <w:sz w:val="18"/>
                <w:szCs w:val="18"/>
                <w14:ligatures w14:val="standardContextual"/>
              </w:rPr>
            </w:pPr>
            <w:r w:rsidRPr="00DF44FD">
              <w:rPr>
                <w:rFonts w:ascii="Lato" w:hAnsi="Lato"/>
                <w:sz w:val="18"/>
                <w:szCs w:val="18"/>
                <w14:ligatures w14:val="standardContextual"/>
              </w:rPr>
              <w:t>100 mm Hg dla ciśnienia rozkurczowego”</w:t>
            </w:r>
          </w:p>
          <w:p w14:paraId="53F2F553" w14:textId="77777777" w:rsidR="00DF44FD" w:rsidRPr="00DF44FD" w:rsidRDefault="00DF44FD" w:rsidP="00DF44FD">
            <w:pPr>
              <w:spacing w:after="0"/>
              <w:rPr>
                <w:rFonts w:ascii="Lato" w:hAnsi="Lato"/>
                <w:b/>
                <w:bCs/>
                <w:kern w:val="2"/>
                <w:sz w:val="18"/>
                <w:szCs w:val="18"/>
                <w14:ligatures w14:val="standardContextual"/>
              </w:rPr>
            </w:pPr>
            <w:r w:rsidRPr="00DF44FD">
              <w:rPr>
                <w:rFonts w:ascii="Lato" w:hAnsi="Lato"/>
                <w:b/>
                <w:bCs/>
                <w:kern w:val="2"/>
                <w:sz w:val="18"/>
                <w:szCs w:val="18"/>
                <w14:ligatures w14:val="standardContextual"/>
              </w:rPr>
              <w:t>Powinno być:</w:t>
            </w:r>
          </w:p>
          <w:p w14:paraId="2ABA545C" w14:textId="77777777" w:rsidR="00DF44FD" w:rsidRPr="00DF44FD" w:rsidRDefault="00DF44FD" w:rsidP="00DF44FD">
            <w:pPr>
              <w:autoSpaceDE w:val="0"/>
              <w:autoSpaceDN w:val="0"/>
              <w:adjustRightInd w:val="0"/>
              <w:spacing w:after="0" w:line="240" w:lineRule="auto"/>
              <w:rPr>
                <w:rFonts w:ascii="Lato" w:hAnsi="Lato"/>
                <w:sz w:val="18"/>
                <w:szCs w:val="18"/>
                <w14:ligatures w14:val="standardContextual"/>
              </w:rPr>
            </w:pPr>
            <w:r w:rsidRPr="00DF44FD">
              <w:rPr>
                <w:rFonts w:ascii="Lato" w:hAnsi="Lato"/>
                <w:sz w:val="18"/>
                <w:szCs w:val="18"/>
                <w14:ligatures w14:val="standardContextual"/>
              </w:rPr>
              <w:t>„w załączniku nr 2:</w:t>
            </w:r>
          </w:p>
          <w:p w14:paraId="494313C8" w14:textId="77777777" w:rsidR="00DF44FD" w:rsidRPr="00DF44FD" w:rsidRDefault="00DF44FD" w:rsidP="00DF44FD">
            <w:pPr>
              <w:autoSpaceDE w:val="0"/>
              <w:autoSpaceDN w:val="0"/>
              <w:adjustRightInd w:val="0"/>
              <w:spacing w:after="0" w:line="240" w:lineRule="auto"/>
              <w:rPr>
                <w:rFonts w:ascii="Lato" w:hAnsi="Lato"/>
                <w:sz w:val="18"/>
                <w:szCs w:val="18"/>
                <w14:ligatures w14:val="standardContextual"/>
              </w:rPr>
            </w:pPr>
            <w:r w:rsidRPr="00DF44FD">
              <w:rPr>
                <w:rFonts w:ascii="Lato" w:hAnsi="Lato"/>
                <w:sz w:val="18"/>
                <w:szCs w:val="18"/>
                <w14:ligatures w14:val="standardContextual"/>
              </w:rPr>
              <w:t>a) w pkt 1.1. „Wiek i badanie przedmiotowe” w lp. 3 kolumna 3 „Szczegółowy opis</w:t>
            </w:r>
          </w:p>
          <w:p w14:paraId="2D5AA8A3" w14:textId="77777777" w:rsidR="00DF44FD" w:rsidRPr="00DF44FD" w:rsidRDefault="00DF44FD" w:rsidP="00DF44FD">
            <w:pPr>
              <w:autoSpaceDE w:val="0"/>
              <w:autoSpaceDN w:val="0"/>
              <w:adjustRightInd w:val="0"/>
              <w:spacing w:after="0" w:line="240" w:lineRule="auto"/>
              <w:rPr>
                <w:rFonts w:ascii="Lato" w:hAnsi="Lato"/>
                <w:sz w:val="18"/>
                <w:szCs w:val="18"/>
                <w14:ligatures w14:val="standardContextual"/>
              </w:rPr>
            </w:pPr>
            <w:r w:rsidRPr="00DF44FD">
              <w:rPr>
                <w:rFonts w:ascii="Lato" w:hAnsi="Lato"/>
                <w:sz w:val="18"/>
                <w:szCs w:val="18"/>
                <w14:ligatures w14:val="standardContextual"/>
              </w:rPr>
              <w:t>kryterium oraz warunku kwalifikowania do pobierania krwi od kandydata na dawcę</w:t>
            </w:r>
          </w:p>
          <w:p w14:paraId="0A044BE9" w14:textId="77777777" w:rsidR="00DF44FD" w:rsidRPr="00DF44FD" w:rsidRDefault="00DF44FD" w:rsidP="00DF44FD">
            <w:pPr>
              <w:autoSpaceDE w:val="0"/>
              <w:autoSpaceDN w:val="0"/>
              <w:adjustRightInd w:val="0"/>
              <w:spacing w:after="0" w:line="240" w:lineRule="auto"/>
              <w:rPr>
                <w:rFonts w:ascii="Lato" w:hAnsi="Lato"/>
                <w:sz w:val="18"/>
                <w:szCs w:val="18"/>
                <w14:ligatures w14:val="standardContextual"/>
              </w:rPr>
            </w:pPr>
            <w:r w:rsidRPr="00DF44FD">
              <w:rPr>
                <w:rFonts w:ascii="Lato" w:hAnsi="Lato"/>
                <w:sz w:val="18"/>
                <w:szCs w:val="18"/>
                <w14:ligatures w14:val="standardContextual"/>
              </w:rPr>
              <w:t>krwi lub dawcy krwi” otrzymuje brzmienie:</w:t>
            </w:r>
          </w:p>
          <w:p w14:paraId="61E0E330" w14:textId="77777777" w:rsidR="00DF44FD" w:rsidRPr="00DF44FD" w:rsidRDefault="00DF44FD" w:rsidP="00DF44FD">
            <w:pPr>
              <w:autoSpaceDE w:val="0"/>
              <w:autoSpaceDN w:val="0"/>
              <w:adjustRightInd w:val="0"/>
              <w:spacing w:after="0" w:line="240" w:lineRule="auto"/>
              <w:rPr>
                <w:rFonts w:ascii="Lato" w:hAnsi="Lato"/>
                <w:sz w:val="18"/>
                <w:szCs w:val="18"/>
                <w14:ligatures w14:val="standardContextual"/>
              </w:rPr>
            </w:pPr>
            <w:r w:rsidRPr="00DF44FD">
              <w:rPr>
                <w:rFonts w:ascii="Lato" w:hAnsi="Lato"/>
                <w:sz w:val="18"/>
                <w:szCs w:val="18"/>
                <w14:ligatures w14:val="standardContextual"/>
              </w:rPr>
              <w:t>„Wartość ciśnienia tętniczego nie powinna przekraczać:</w:t>
            </w:r>
          </w:p>
          <w:p w14:paraId="0B789576" w14:textId="77777777" w:rsidR="00DF44FD" w:rsidRPr="00DF44FD" w:rsidRDefault="00DF44FD" w:rsidP="00DF44FD">
            <w:pPr>
              <w:autoSpaceDE w:val="0"/>
              <w:autoSpaceDN w:val="0"/>
              <w:adjustRightInd w:val="0"/>
              <w:spacing w:after="0" w:line="240" w:lineRule="auto"/>
              <w:rPr>
                <w:rFonts w:ascii="Lato" w:hAnsi="Lato"/>
                <w:sz w:val="18"/>
                <w:szCs w:val="18"/>
                <w14:ligatures w14:val="standardContextual"/>
              </w:rPr>
            </w:pPr>
            <w:r w:rsidRPr="00DF44FD">
              <w:rPr>
                <w:rFonts w:ascii="Lato" w:hAnsi="Lato"/>
                <w:sz w:val="18"/>
                <w:szCs w:val="18"/>
                <w14:ligatures w14:val="standardContextual"/>
              </w:rPr>
              <w:lastRenderedPageBreak/>
              <w:t>180 mm Hg dla ciśnienia skurczowego;</w:t>
            </w:r>
          </w:p>
          <w:p w14:paraId="2C0A8E5C" w14:textId="77777777" w:rsidR="00DF44FD" w:rsidRPr="00DF44FD" w:rsidRDefault="00DF44FD" w:rsidP="00DF44FD">
            <w:pPr>
              <w:spacing w:after="0" w:line="240" w:lineRule="auto"/>
              <w:rPr>
                <w:rFonts w:ascii="Lato" w:hAnsi="Lato"/>
                <w:sz w:val="18"/>
                <w:szCs w:val="18"/>
                <w14:ligatures w14:val="standardContextual"/>
              </w:rPr>
            </w:pPr>
            <w:r w:rsidRPr="00DF44FD">
              <w:rPr>
                <w:rFonts w:ascii="Lato" w:hAnsi="Lato"/>
                <w:sz w:val="18"/>
                <w:szCs w:val="18"/>
                <w14:ligatures w14:val="standardContextual"/>
              </w:rPr>
              <w:t>100 mm Hg dla ciśnienia rozkurczowego”</w:t>
            </w:r>
          </w:p>
          <w:p w14:paraId="2C0425A2" w14:textId="77777777" w:rsidR="00DF44FD" w:rsidRPr="00DF44FD" w:rsidRDefault="00DF44FD" w:rsidP="00DF44FD">
            <w:pPr>
              <w:spacing w:after="0"/>
              <w:rPr>
                <w:rFonts w:ascii="Lato" w:hAnsi="Lato"/>
                <w:b/>
                <w:bCs/>
                <w:sz w:val="18"/>
                <w:szCs w:val="18"/>
                <w14:ligatures w14:val="standardContextual"/>
              </w:rPr>
            </w:pPr>
            <w:r w:rsidRPr="00DF44FD">
              <w:rPr>
                <w:rFonts w:ascii="Lato" w:hAnsi="Lato"/>
                <w:b/>
                <w:bCs/>
                <w:sz w:val="18"/>
                <w:szCs w:val="18"/>
                <w14:ligatures w14:val="standardContextual"/>
              </w:rPr>
              <w:t>Uzasadnienie:</w:t>
            </w:r>
          </w:p>
          <w:p w14:paraId="362472E5" w14:textId="77777777" w:rsidR="00DF44FD" w:rsidRPr="00DF44FD" w:rsidRDefault="00DF44FD" w:rsidP="00DF44FD">
            <w:pPr>
              <w:spacing w:after="160"/>
              <w:rPr>
                <w:rFonts w:ascii="Lato" w:hAnsi="Lato"/>
                <w:b/>
                <w:bCs/>
                <w:sz w:val="18"/>
                <w:szCs w:val="18"/>
                <w14:ligatures w14:val="standardContextual"/>
              </w:rPr>
            </w:pPr>
            <w:r w:rsidRPr="00DF44FD">
              <w:rPr>
                <w:rFonts w:ascii="Lato" w:hAnsi="Lato"/>
                <w:sz w:val="18"/>
                <w:szCs w:val="18"/>
                <w14:ligatures w14:val="standardContextual"/>
              </w:rPr>
              <w:t xml:space="preserve">Proponowany zapis jest zgodny z aktualnym wydaniem wytycznych Rady Europy, które mają stać się technicznym załącznikiem do procedowanego rozporządzenia Parlamentu Europejskiego, które to ma zastąpić Dyrektywy WE w zakresie </w:t>
            </w:r>
            <w:proofErr w:type="spellStart"/>
            <w:r w:rsidRPr="00DF44FD">
              <w:rPr>
                <w:rFonts w:ascii="Lato" w:hAnsi="Lato"/>
                <w:sz w:val="18"/>
                <w:szCs w:val="18"/>
                <w14:ligatures w14:val="standardContextual"/>
              </w:rPr>
              <w:t>SoHO</w:t>
            </w:r>
            <w:proofErr w:type="spellEnd"/>
            <w:r w:rsidRPr="00DF44FD">
              <w:rPr>
                <w:rFonts w:ascii="Lato" w:hAnsi="Lato"/>
                <w:sz w:val="18"/>
                <w:szCs w:val="18"/>
                <w14:ligatures w14:val="standardContextual"/>
              </w:rPr>
              <w:t>. Ponadto dane naukowe wskazują, że wysokość ciśnienia tętniczego u dawców w zakresie 160-180 mmHg nie ma istotnego wpływu na ryzyko wystąpienia reakcji niepożądanej u dawcy w związku z donacją krwi lub jej składników.</w:t>
            </w:r>
          </w:p>
          <w:p w14:paraId="2F589A20" w14:textId="77777777" w:rsidR="00DF44FD" w:rsidRPr="00DF44FD" w:rsidRDefault="00DF44FD" w:rsidP="00DF44FD">
            <w:pPr>
              <w:numPr>
                <w:ilvl w:val="0"/>
                <w:numId w:val="25"/>
              </w:numPr>
              <w:spacing w:after="160" w:line="259" w:lineRule="auto"/>
              <w:contextualSpacing/>
              <w:rPr>
                <w:rFonts w:ascii="Lato" w:hAnsi="Lato"/>
                <w:b/>
                <w:bCs/>
                <w:kern w:val="2"/>
                <w:sz w:val="18"/>
                <w:szCs w:val="18"/>
                <w14:ligatures w14:val="standardContextual"/>
              </w:rPr>
            </w:pPr>
            <w:r w:rsidRPr="00DF44FD">
              <w:rPr>
                <w:rFonts w:ascii="Lato" w:hAnsi="Lato"/>
                <w:b/>
                <w:bCs/>
                <w:kern w:val="2"/>
                <w:sz w:val="18"/>
                <w:szCs w:val="18"/>
                <w14:ligatures w14:val="standardContextual"/>
              </w:rPr>
              <w:t xml:space="preserve">W par.1 ust.2. </w:t>
            </w:r>
            <w:proofErr w:type="spellStart"/>
            <w:r w:rsidRPr="00DF44FD">
              <w:rPr>
                <w:rFonts w:ascii="Lato" w:hAnsi="Lato"/>
                <w:b/>
                <w:bCs/>
                <w:kern w:val="2"/>
                <w:sz w:val="18"/>
                <w:szCs w:val="18"/>
                <w14:ligatures w14:val="standardContextual"/>
              </w:rPr>
              <w:t>pp</w:t>
            </w:r>
            <w:proofErr w:type="spellEnd"/>
            <w:r w:rsidRPr="00DF44FD">
              <w:rPr>
                <w:rFonts w:ascii="Lato" w:hAnsi="Lato"/>
                <w:b/>
                <w:bCs/>
                <w:kern w:val="2"/>
                <w:sz w:val="18"/>
                <w:szCs w:val="18"/>
                <w14:ligatures w14:val="standardContextual"/>
              </w:rPr>
              <w:t xml:space="preserve"> g)</w:t>
            </w:r>
          </w:p>
          <w:p w14:paraId="751D9CC8" w14:textId="77777777" w:rsidR="00DF44FD" w:rsidRPr="00DF44FD" w:rsidRDefault="00DF44FD" w:rsidP="00DF44FD">
            <w:pPr>
              <w:spacing w:after="0" w:line="240" w:lineRule="auto"/>
              <w:ind w:left="360"/>
              <w:rPr>
                <w:rFonts w:ascii="Lato" w:hAnsi="Lato"/>
                <w:kern w:val="2"/>
                <w:sz w:val="18"/>
                <w:szCs w:val="18"/>
                <w14:ligatures w14:val="standardContextual"/>
              </w:rPr>
            </w:pPr>
            <w:r w:rsidRPr="00DF44FD">
              <w:rPr>
                <w:rFonts w:ascii="Lato" w:hAnsi="Lato"/>
                <w:kern w:val="2"/>
                <w:sz w:val="18"/>
                <w:szCs w:val="18"/>
                <w14:ligatures w14:val="standardContextual"/>
              </w:rPr>
              <w:t>Zapis:</w:t>
            </w:r>
          </w:p>
          <w:p w14:paraId="0C1498B9" w14:textId="77777777" w:rsidR="00DF44FD" w:rsidRPr="00DF44FD" w:rsidRDefault="00DF44FD" w:rsidP="00DF44FD">
            <w:pPr>
              <w:autoSpaceDE w:val="0"/>
              <w:autoSpaceDN w:val="0"/>
              <w:adjustRightInd w:val="0"/>
              <w:spacing w:line="240" w:lineRule="auto"/>
              <w:rPr>
                <w:rFonts w:ascii="Lato" w:hAnsi="Lato"/>
                <w:sz w:val="18"/>
                <w:szCs w:val="18"/>
                <w14:ligatures w14:val="standardContextual"/>
              </w:rPr>
            </w:pPr>
            <w:r w:rsidRPr="00DF44FD">
              <w:rPr>
                <w:rFonts w:ascii="Lato" w:hAnsi="Lato"/>
                <w:sz w:val="18"/>
                <w:szCs w:val="18"/>
                <w14:ligatures w14:val="standardContextual"/>
              </w:rPr>
              <w:t>– dodaje się lp. 15 w brzmieniu:</w:t>
            </w:r>
          </w:p>
          <w:tbl>
            <w:tblPr>
              <w:tblStyle w:val="Tabela-Siatka2"/>
              <w:tblW w:w="0" w:type="auto"/>
              <w:tblLook w:val="04A0" w:firstRow="1" w:lastRow="0" w:firstColumn="1" w:lastColumn="0" w:noHBand="0" w:noVBand="1"/>
            </w:tblPr>
            <w:tblGrid>
              <w:gridCol w:w="549"/>
              <w:gridCol w:w="2656"/>
              <w:gridCol w:w="5215"/>
            </w:tblGrid>
            <w:tr w:rsidR="00DF44FD" w:rsidRPr="00DF44FD" w14:paraId="7B5A8B9C" w14:textId="77777777" w:rsidTr="00F829FF">
              <w:tc>
                <w:tcPr>
                  <w:tcW w:w="562" w:type="dxa"/>
                </w:tcPr>
                <w:p w14:paraId="0D33B29F" w14:textId="77777777" w:rsidR="00DF44FD" w:rsidRPr="00DF44FD" w:rsidRDefault="00DF44FD" w:rsidP="00E2548E">
                  <w:pPr>
                    <w:framePr w:hSpace="141" w:wrap="around" w:vAnchor="page" w:hAnchor="margin" w:y="3861"/>
                    <w:autoSpaceDE w:val="0"/>
                    <w:autoSpaceDN w:val="0"/>
                    <w:adjustRightInd w:val="0"/>
                    <w:rPr>
                      <w:rFonts w:ascii="Lato" w:eastAsia="Calibri" w:hAnsi="Lato" w:cs="Times New Roman"/>
                      <w:sz w:val="18"/>
                      <w:szCs w:val="18"/>
                    </w:rPr>
                  </w:pPr>
                  <w:r w:rsidRPr="00DF44FD">
                    <w:rPr>
                      <w:rFonts w:ascii="Lato" w:eastAsia="Calibri" w:hAnsi="Lato" w:cs="Times New Roman"/>
                      <w:sz w:val="18"/>
                      <w:szCs w:val="18"/>
                    </w:rPr>
                    <w:t>15</w:t>
                  </w:r>
                </w:p>
              </w:tc>
              <w:tc>
                <w:tcPr>
                  <w:tcW w:w="2835" w:type="dxa"/>
                </w:tcPr>
                <w:p w14:paraId="13584732" w14:textId="77777777" w:rsidR="00DF44FD" w:rsidRPr="00DF44FD" w:rsidRDefault="00DF44FD" w:rsidP="00E2548E">
                  <w:pPr>
                    <w:framePr w:hSpace="141" w:wrap="around" w:vAnchor="page" w:hAnchor="margin" w:y="3861"/>
                    <w:autoSpaceDE w:val="0"/>
                    <w:autoSpaceDN w:val="0"/>
                    <w:adjustRightInd w:val="0"/>
                    <w:rPr>
                      <w:rFonts w:ascii="Lato" w:eastAsia="Calibri" w:hAnsi="Lato" w:cs="Times New Roman"/>
                      <w:sz w:val="18"/>
                      <w:szCs w:val="18"/>
                    </w:rPr>
                  </w:pPr>
                  <w:r w:rsidRPr="00DF44FD">
                    <w:rPr>
                      <w:rFonts w:ascii="Lato" w:eastAsia="Calibri" w:hAnsi="Lato" w:cs="Times New Roman"/>
                      <w:sz w:val="18"/>
                      <w:szCs w:val="18"/>
                    </w:rPr>
                    <w:t>Cukrzyca typu 2 nieleczona</w:t>
                  </w:r>
                </w:p>
                <w:p w14:paraId="3CAFFCF1" w14:textId="77777777" w:rsidR="00DF44FD" w:rsidRPr="00DF44FD" w:rsidRDefault="00DF44FD" w:rsidP="00E2548E">
                  <w:pPr>
                    <w:framePr w:hSpace="141" w:wrap="around" w:vAnchor="page" w:hAnchor="margin" w:y="3861"/>
                    <w:autoSpaceDE w:val="0"/>
                    <w:autoSpaceDN w:val="0"/>
                    <w:adjustRightInd w:val="0"/>
                    <w:rPr>
                      <w:rFonts w:ascii="Lato" w:eastAsia="Calibri" w:hAnsi="Lato" w:cs="Times New Roman"/>
                      <w:sz w:val="18"/>
                      <w:szCs w:val="18"/>
                    </w:rPr>
                  </w:pPr>
                  <w:r w:rsidRPr="00DF44FD">
                    <w:rPr>
                      <w:rFonts w:ascii="Lato" w:eastAsia="Calibri" w:hAnsi="Lato" w:cs="Times New Roman"/>
                      <w:sz w:val="18"/>
                      <w:szCs w:val="18"/>
                    </w:rPr>
                    <w:t>insuliną</w:t>
                  </w:r>
                </w:p>
                <w:p w14:paraId="468770BC" w14:textId="77777777" w:rsidR="00DF44FD" w:rsidRPr="00DF44FD" w:rsidRDefault="00DF44FD" w:rsidP="00E2548E">
                  <w:pPr>
                    <w:framePr w:hSpace="141" w:wrap="around" w:vAnchor="page" w:hAnchor="margin" w:y="3861"/>
                    <w:autoSpaceDE w:val="0"/>
                    <w:autoSpaceDN w:val="0"/>
                    <w:adjustRightInd w:val="0"/>
                    <w:rPr>
                      <w:rFonts w:ascii="Lato" w:eastAsia="Calibri" w:hAnsi="Lato" w:cs="Times New Roman"/>
                      <w:sz w:val="18"/>
                      <w:szCs w:val="18"/>
                    </w:rPr>
                  </w:pPr>
                </w:p>
              </w:tc>
              <w:tc>
                <w:tcPr>
                  <w:tcW w:w="5665" w:type="dxa"/>
                </w:tcPr>
                <w:p w14:paraId="54FCA533" w14:textId="77777777" w:rsidR="00DF44FD" w:rsidRPr="00DF44FD" w:rsidRDefault="00DF44FD" w:rsidP="00E2548E">
                  <w:pPr>
                    <w:framePr w:hSpace="141" w:wrap="around" w:vAnchor="page" w:hAnchor="margin" w:y="3861"/>
                    <w:autoSpaceDE w:val="0"/>
                    <w:autoSpaceDN w:val="0"/>
                    <w:adjustRightInd w:val="0"/>
                    <w:rPr>
                      <w:rFonts w:ascii="Lato" w:eastAsia="Calibri" w:hAnsi="Lato" w:cs="Times New Roman"/>
                      <w:sz w:val="18"/>
                      <w:szCs w:val="18"/>
                    </w:rPr>
                  </w:pPr>
                  <w:r w:rsidRPr="00DF44FD">
                    <w:rPr>
                      <w:rFonts w:ascii="Lato" w:eastAsia="Calibri" w:hAnsi="Lato" w:cs="Times New Roman"/>
                      <w:sz w:val="18"/>
                      <w:szCs w:val="18"/>
                    </w:rPr>
                    <w:t>kandydaci na dawców krwi lub dawcy krwi mogą zostać dopuszczeni do pobrania tylko krwi pełnej, jeżeli są leczeni dietą lub metforminą</w:t>
                  </w:r>
                </w:p>
              </w:tc>
            </w:tr>
          </w:tbl>
          <w:p w14:paraId="5BAAEA10" w14:textId="77777777" w:rsidR="00DF44FD" w:rsidRPr="00DF44FD" w:rsidRDefault="00DF44FD" w:rsidP="00DF44FD">
            <w:pPr>
              <w:spacing w:after="160"/>
              <w:ind w:left="360"/>
              <w:rPr>
                <w:rFonts w:ascii="Lato" w:hAnsi="Lato"/>
                <w:kern w:val="2"/>
                <w:sz w:val="18"/>
                <w:szCs w:val="18"/>
                <w14:ligatures w14:val="standardContextual"/>
              </w:rPr>
            </w:pPr>
            <w:r w:rsidRPr="00DF44FD">
              <w:rPr>
                <w:rFonts w:ascii="Lato" w:hAnsi="Lato"/>
                <w:kern w:val="2"/>
                <w:sz w:val="18"/>
                <w:szCs w:val="18"/>
                <w14:ligatures w14:val="standardContextual"/>
              </w:rPr>
              <w:t>powinien być usunięty.</w:t>
            </w:r>
          </w:p>
          <w:p w14:paraId="46E25489" w14:textId="77777777" w:rsidR="00DF44FD" w:rsidRPr="00DF44FD" w:rsidRDefault="00DF44FD" w:rsidP="00DF44FD">
            <w:pPr>
              <w:spacing w:after="0"/>
              <w:rPr>
                <w:rFonts w:ascii="Lato" w:hAnsi="Lato"/>
                <w:b/>
                <w:bCs/>
                <w:kern w:val="2"/>
                <w:sz w:val="18"/>
                <w:szCs w:val="18"/>
                <w14:ligatures w14:val="standardContextual"/>
              </w:rPr>
            </w:pPr>
            <w:r w:rsidRPr="00DF44FD">
              <w:rPr>
                <w:rFonts w:ascii="Lato" w:hAnsi="Lato"/>
                <w:b/>
                <w:bCs/>
                <w:kern w:val="2"/>
                <w:sz w:val="18"/>
                <w:szCs w:val="18"/>
                <w14:ligatures w14:val="standardContextual"/>
              </w:rPr>
              <w:t>Uzasadnienie:</w:t>
            </w:r>
          </w:p>
          <w:p w14:paraId="73D1D4BF" w14:textId="77777777" w:rsidR="00DF44FD" w:rsidRPr="00DF44FD" w:rsidRDefault="00DF44FD" w:rsidP="00DF44FD">
            <w:pPr>
              <w:spacing w:after="160"/>
              <w:jc w:val="both"/>
              <w:rPr>
                <w:rFonts w:ascii="Lato" w:hAnsi="Lato"/>
                <w:kern w:val="2"/>
                <w:sz w:val="18"/>
                <w:szCs w:val="18"/>
                <w14:ligatures w14:val="standardContextual"/>
              </w:rPr>
            </w:pPr>
            <w:r w:rsidRPr="00DF44FD">
              <w:rPr>
                <w:rFonts w:ascii="Lato" w:hAnsi="Lato"/>
                <w:kern w:val="2"/>
                <w:sz w:val="18"/>
                <w:szCs w:val="18"/>
                <w14:ligatures w14:val="standardContextual"/>
              </w:rPr>
              <w:t xml:space="preserve">W par. 1 ust. 5 </w:t>
            </w:r>
            <w:proofErr w:type="spellStart"/>
            <w:r w:rsidRPr="00DF44FD">
              <w:rPr>
                <w:rFonts w:ascii="Lato" w:hAnsi="Lato"/>
                <w:kern w:val="2"/>
                <w:sz w:val="18"/>
                <w:szCs w:val="18"/>
                <w14:ligatures w14:val="standardContextual"/>
              </w:rPr>
              <w:t>pp</w:t>
            </w:r>
            <w:proofErr w:type="spellEnd"/>
            <w:r w:rsidRPr="00DF44FD">
              <w:rPr>
                <w:rFonts w:ascii="Lato" w:hAnsi="Lato"/>
                <w:kern w:val="2"/>
                <w:sz w:val="18"/>
                <w:szCs w:val="18"/>
                <w14:ligatures w14:val="standardContextual"/>
              </w:rPr>
              <w:t xml:space="preserve"> c) wprowadza się zapis dyskwalifikujący dawców i kandydatów na dawców chorych na cukrzycę leczoną insuliną, który jest zgodny z Dyrektywą oraz obowiązującymi wytycznymi Rady Europy. Zapis proponowany w par.1 ust.2. </w:t>
            </w:r>
            <w:proofErr w:type="spellStart"/>
            <w:r w:rsidRPr="00DF44FD">
              <w:rPr>
                <w:rFonts w:ascii="Lato" w:hAnsi="Lato"/>
                <w:kern w:val="2"/>
                <w:sz w:val="18"/>
                <w:szCs w:val="18"/>
                <w14:ligatures w14:val="standardContextual"/>
              </w:rPr>
              <w:t>pp</w:t>
            </w:r>
            <w:proofErr w:type="spellEnd"/>
            <w:r w:rsidRPr="00DF44FD">
              <w:rPr>
                <w:rFonts w:ascii="Lato" w:hAnsi="Lato"/>
                <w:kern w:val="2"/>
                <w:sz w:val="18"/>
                <w:szCs w:val="18"/>
                <w14:ligatures w14:val="standardContextual"/>
              </w:rPr>
              <w:t xml:space="preserve"> g)  wykracza poza ramy wyżej wymienionych regulacji i nie ma oparcia w danych naukowych, wskazujących, że inne leki niż </w:t>
            </w:r>
            <w:proofErr w:type="spellStart"/>
            <w:r w:rsidRPr="00DF44FD">
              <w:rPr>
                <w:rFonts w:ascii="Lato" w:hAnsi="Lato"/>
                <w:kern w:val="2"/>
                <w:sz w:val="18"/>
                <w:szCs w:val="18"/>
                <w14:ligatures w14:val="standardContextual"/>
              </w:rPr>
              <w:t>metformina</w:t>
            </w:r>
            <w:proofErr w:type="spellEnd"/>
            <w:r w:rsidRPr="00DF44FD">
              <w:rPr>
                <w:rFonts w:ascii="Lato" w:hAnsi="Lato"/>
                <w:kern w:val="2"/>
                <w:sz w:val="18"/>
                <w:szCs w:val="18"/>
                <w14:ligatures w14:val="standardContextual"/>
              </w:rPr>
              <w:t xml:space="preserve"> przyjmowane przez dawcę mogą stwarzać większe ryzyko dla biorcy krwi lub jej składnika. </w:t>
            </w:r>
          </w:p>
          <w:p w14:paraId="53DBA071" w14:textId="77777777" w:rsidR="00DF44FD" w:rsidRPr="00DF44FD" w:rsidRDefault="00DF44FD" w:rsidP="00DF44FD">
            <w:pPr>
              <w:spacing w:after="0" w:line="240" w:lineRule="auto"/>
              <w:jc w:val="both"/>
              <w:rPr>
                <w:rFonts w:ascii="Lato" w:hAnsi="Lato" w:cs="Arial"/>
                <w:sz w:val="18"/>
                <w:szCs w:val="18"/>
              </w:rPr>
            </w:pPr>
          </w:p>
        </w:tc>
        <w:tc>
          <w:tcPr>
            <w:tcW w:w="3236" w:type="dxa"/>
            <w:tcBorders>
              <w:top w:val="single" w:sz="4" w:space="0" w:color="auto"/>
              <w:left w:val="single" w:sz="4" w:space="0" w:color="auto"/>
              <w:bottom w:val="single" w:sz="4" w:space="0" w:color="auto"/>
              <w:right w:val="single" w:sz="4" w:space="0" w:color="auto"/>
            </w:tcBorders>
          </w:tcPr>
          <w:p w14:paraId="2BA6EF09" w14:textId="77777777" w:rsidR="00DF44FD" w:rsidRPr="00DF44FD" w:rsidRDefault="00DF44FD" w:rsidP="00DF44FD">
            <w:pPr>
              <w:spacing w:line="240" w:lineRule="auto"/>
              <w:contextualSpacing/>
              <w:rPr>
                <w:rFonts w:ascii="Lato" w:hAnsi="Lato" w:cs="Arial"/>
                <w:sz w:val="18"/>
                <w:szCs w:val="18"/>
              </w:rPr>
            </w:pPr>
            <w:r w:rsidRPr="00DF44FD">
              <w:rPr>
                <w:rFonts w:ascii="Lato" w:hAnsi="Lato" w:cs="Arial"/>
                <w:sz w:val="18"/>
                <w:szCs w:val="18"/>
              </w:rPr>
              <w:lastRenderedPageBreak/>
              <w:t xml:space="preserve">Uwaga niezasadna </w:t>
            </w:r>
          </w:p>
          <w:p w14:paraId="3E2CF9E5" w14:textId="77777777" w:rsidR="00DF44FD" w:rsidRPr="00DF44FD" w:rsidRDefault="00DF44FD" w:rsidP="00DF44FD">
            <w:pPr>
              <w:spacing w:line="240" w:lineRule="auto"/>
              <w:contextualSpacing/>
              <w:rPr>
                <w:rFonts w:ascii="Lato" w:hAnsi="Lato" w:cs="Arial"/>
                <w:sz w:val="18"/>
                <w:szCs w:val="18"/>
              </w:rPr>
            </w:pPr>
            <w:r w:rsidRPr="00DF44FD">
              <w:rPr>
                <w:rFonts w:ascii="Lato" w:hAnsi="Lato" w:cs="Arial"/>
                <w:sz w:val="18"/>
                <w:szCs w:val="18"/>
              </w:rPr>
              <w:t xml:space="preserve">Dyrektywa nie zawiera zapisu dotyczącego wartości RR; proponowany zapis ma na celu zwiększenie bezpieczeństwa dawców. </w:t>
            </w:r>
          </w:p>
          <w:p w14:paraId="5E7BA6EC" w14:textId="77777777" w:rsidR="00DF44FD" w:rsidRPr="00DF44FD" w:rsidRDefault="00DF44FD" w:rsidP="00DF44FD">
            <w:pPr>
              <w:spacing w:line="240" w:lineRule="auto"/>
              <w:contextualSpacing/>
              <w:rPr>
                <w:rFonts w:ascii="Lato" w:hAnsi="Lato" w:cs="Arial"/>
                <w:sz w:val="18"/>
                <w:szCs w:val="18"/>
              </w:rPr>
            </w:pPr>
          </w:p>
          <w:p w14:paraId="48BF98AE" w14:textId="77777777" w:rsidR="00DF44FD" w:rsidRPr="00DF44FD" w:rsidRDefault="00DF44FD" w:rsidP="00DF44FD">
            <w:pPr>
              <w:spacing w:line="240" w:lineRule="auto"/>
              <w:contextualSpacing/>
              <w:rPr>
                <w:rFonts w:ascii="Lato" w:hAnsi="Lato" w:cs="Arial"/>
                <w:sz w:val="18"/>
                <w:szCs w:val="18"/>
              </w:rPr>
            </w:pPr>
          </w:p>
          <w:p w14:paraId="79512918" w14:textId="77777777" w:rsidR="00DF44FD" w:rsidRPr="00DF44FD" w:rsidRDefault="00DF44FD" w:rsidP="00DF44FD">
            <w:pPr>
              <w:spacing w:line="240" w:lineRule="auto"/>
              <w:contextualSpacing/>
              <w:rPr>
                <w:rFonts w:ascii="Lato" w:hAnsi="Lato" w:cs="Arial"/>
                <w:sz w:val="18"/>
                <w:szCs w:val="18"/>
              </w:rPr>
            </w:pPr>
          </w:p>
          <w:p w14:paraId="39A26E69" w14:textId="77777777" w:rsidR="00DF44FD" w:rsidRPr="00DF44FD" w:rsidRDefault="00DF44FD" w:rsidP="00DF44FD">
            <w:pPr>
              <w:spacing w:line="240" w:lineRule="auto"/>
              <w:contextualSpacing/>
              <w:rPr>
                <w:rFonts w:ascii="Lato" w:hAnsi="Lato" w:cs="Arial"/>
                <w:sz w:val="18"/>
                <w:szCs w:val="18"/>
              </w:rPr>
            </w:pPr>
          </w:p>
          <w:p w14:paraId="2772932E" w14:textId="77777777" w:rsidR="00DF44FD" w:rsidRPr="00DF44FD" w:rsidRDefault="00DF44FD" w:rsidP="00DF44FD">
            <w:pPr>
              <w:spacing w:line="240" w:lineRule="auto"/>
              <w:contextualSpacing/>
              <w:rPr>
                <w:rFonts w:ascii="Lato" w:hAnsi="Lato" w:cs="Arial"/>
                <w:sz w:val="18"/>
                <w:szCs w:val="18"/>
              </w:rPr>
            </w:pPr>
          </w:p>
          <w:p w14:paraId="718507CD" w14:textId="77777777" w:rsidR="00DF44FD" w:rsidRPr="00DF44FD" w:rsidRDefault="00DF44FD" w:rsidP="00DF44FD">
            <w:pPr>
              <w:spacing w:line="240" w:lineRule="auto"/>
              <w:contextualSpacing/>
              <w:rPr>
                <w:rFonts w:ascii="Lato" w:hAnsi="Lato" w:cs="Arial"/>
                <w:sz w:val="18"/>
                <w:szCs w:val="18"/>
              </w:rPr>
            </w:pPr>
          </w:p>
          <w:p w14:paraId="1789373D" w14:textId="77777777" w:rsidR="00DF44FD" w:rsidRPr="00DF44FD" w:rsidRDefault="00DF44FD" w:rsidP="00DF44FD">
            <w:pPr>
              <w:spacing w:line="240" w:lineRule="auto"/>
              <w:contextualSpacing/>
              <w:rPr>
                <w:rFonts w:ascii="Lato" w:hAnsi="Lato" w:cs="Arial"/>
                <w:sz w:val="18"/>
                <w:szCs w:val="18"/>
              </w:rPr>
            </w:pPr>
          </w:p>
          <w:p w14:paraId="0618EB11" w14:textId="77777777" w:rsidR="00DF44FD" w:rsidRPr="00DF44FD" w:rsidRDefault="00DF44FD" w:rsidP="00DF44FD">
            <w:pPr>
              <w:spacing w:line="240" w:lineRule="auto"/>
              <w:contextualSpacing/>
              <w:rPr>
                <w:rFonts w:ascii="Lato" w:hAnsi="Lato" w:cs="Arial"/>
                <w:sz w:val="18"/>
                <w:szCs w:val="18"/>
              </w:rPr>
            </w:pPr>
          </w:p>
          <w:p w14:paraId="04FE9EBB" w14:textId="77777777" w:rsidR="00DF44FD" w:rsidRPr="00DF44FD" w:rsidRDefault="00DF44FD" w:rsidP="00DF44FD">
            <w:pPr>
              <w:spacing w:line="240" w:lineRule="auto"/>
              <w:contextualSpacing/>
              <w:rPr>
                <w:rFonts w:ascii="Lato" w:hAnsi="Lato" w:cs="Arial"/>
                <w:sz w:val="18"/>
                <w:szCs w:val="18"/>
              </w:rPr>
            </w:pPr>
          </w:p>
          <w:p w14:paraId="371C1E36" w14:textId="77777777" w:rsidR="00DF44FD" w:rsidRPr="00DF44FD" w:rsidRDefault="00DF44FD" w:rsidP="00DF44FD">
            <w:pPr>
              <w:spacing w:line="240" w:lineRule="auto"/>
              <w:contextualSpacing/>
              <w:rPr>
                <w:rFonts w:ascii="Lato" w:hAnsi="Lato" w:cs="Arial"/>
                <w:sz w:val="18"/>
                <w:szCs w:val="18"/>
              </w:rPr>
            </w:pPr>
          </w:p>
          <w:p w14:paraId="4CBFD2E3" w14:textId="77777777" w:rsidR="00DF44FD" w:rsidRPr="00DF44FD" w:rsidRDefault="00DF44FD" w:rsidP="00DF44FD">
            <w:pPr>
              <w:spacing w:line="240" w:lineRule="auto"/>
              <w:contextualSpacing/>
              <w:rPr>
                <w:rFonts w:ascii="Lato" w:hAnsi="Lato" w:cs="Arial"/>
                <w:sz w:val="18"/>
                <w:szCs w:val="18"/>
              </w:rPr>
            </w:pPr>
          </w:p>
          <w:p w14:paraId="760A1D10" w14:textId="77777777" w:rsidR="00DF44FD" w:rsidRPr="00DF44FD" w:rsidRDefault="00DF44FD" w:rsidP="00DF44FD">
            <w:pPr>
              <w:spacing w:line="240" w:lineRule="auto"/>
              <w:contextualSpacing/>
              <w:rPr>
                <w:rFonts w:ascii="Lato" w:hAnsi="Lato" w:cs="Arial"/>
                <w:sz w:val="18"/>
                <w:szCs w:val="18"/>
              </w:rPr>
            </w:pPr>
          </w:p>
          <w:p w14:paraId="7D09DD67" w14:textId="77777777" w:rsidR="00DF44FD" w:rsidRPr="00DF44FD" w:rsidRDefault="00DF44FD" w:rsidP="00DF44FD">
            <w:pPr>
              <w:spacing w:line="240" w:lineRule="auto"/>
              <w:contextualSpacing/>
              <w:rPr>
                <w:rFonts w:ascii="Lato" w:hAnsi="Lato" w:cs="Arial"/>
                <w:sz w:val="18"/>
                <w:szCs w:val="18"/>
              </w:rPr>
            </w:pPr>
          </w:p>
          <w:p w14:paraId="7E7FBC83" w14:textId="77777777" w:rsidR="00DF44FD" w:rsidRPr="00DF44FD" w:rsidRDefault="00DF44FD" w:rsidP="00DF44FD">
            <w:pPr>
              <w:spacing w:line="240" w:lineRule="auto"/>
              <w:contextualSpacing/>
              <w:rPr>
                <w:rFonts w:ascii="Lato" w:hAnsi="Lato" w:cs="Arial"/>
                <w:sz w:val="18"/>
                <w:szCs w:val="18"/>
              </w:rPr>
            </w:pPr>
          </w:p>
          <w:p w14:paraId="056FF6CA" w14:textId="77777777" w:rsidR="00DF44FD" w:rsidRPr="00DF44FD" w:rsidRDefault="00DF44FD" w:rsidP="00DF44FD">
            <w:pPr>
              <w:spacing w:line="240" w:lineRule="auto"/>
              <w:contextualSpacing/>
              <w:rPr>
                <w:rFonts w:ascii="Lato" w:hAnsi="Lato" w:cs="Arial"/>
                <w:sz w:val="18"/>
                <w:szCs w:val="18"/>
              </w:rPr>
            </w:pPr>
          </w:p>
          <w:p w14:paraId="335B46FA" w14:textId="77777777" w:rsidR="00DF44FD" w:rsidRPr="00DF44FD" w:rsidRDefault="00DF44FD" w:rsidP="00DF44FD">
            <w:pPr>
              <w:spacing w:line="240" w:lineRule="auto"/>
              <w:contextualSpacing/>
              <w:rPr>
                <w:rFonts w:ascii="Lato" w:hAnsi="Lato" w:cs="Arial"/>
                <w:sz w:val="18"/>
                <w:szCs w:val="18"/>
              </w:rPr>
            </w:pPr>
          </w:p>
          <w:p w14:paraId="4FBEA303" w14:textId="77777777" w:rsidR="00DF44FD" w:rsidRPr="00DF44FD" w:rsidRDefault="00DF44FD" w:rsidP="00DF44FD">
            <w:pPr>
              <w:spacing w:line="240" w:lineRule="auto"/>
              <w:contextualSpacing/>
              <w:rPr>
                <w:rFonts w:ascii="Lato" w:hAnsi="Lato" w:cs="Arial"/>
                <w:sz w:val="18"/>
                <w:szCs w:val="18"/>
              </w:rPr>
            </w:pPr>
          </w:p>
          <w:p w14:paraId="5F807AC9" w14:textId="77777777" w:rsidR="00DF44FD" w:rsidRPr="00DF44FD" w:rsidRDefault="00DF44FD" w:rsidP="00DF44FD">
            <w:pPr>
              <w:spacing w:line="240" w:lineRule="auto"/>
              <w:contextualSpacing/>
              <w:rPr>
                <w:rFonts w:ascii="Lato" w:hAnsi="Lato" w:cs="Arial"/>
                <w:sz w:val="18"/>
                <w:szCs w:val="18"/>
              </w:rPr>
            </w:pPr>
          </w:p>
          <w:p w14:paraId="5EF362E9" w14:textId="77777777" w:rsidR="00DF44FD" w:rsidRPr="00DF44FD" w:rsidRDefault="00DF44FD" w:rsidP="00DF44FD">
            <w:pPr>
              <w:spacing w:line="240" w:lineRule="auto"/>
              <w:contextualSpacing/>
              <w:rPr>
                <w:rFonts w:ascii="Lato" w:hAnsi="Lato" w:cs="Arial"/>
                <w:sz w:val="18"/>
                <w:szCs w:val="18"/>
              </w:rPr>
            </w:pPr>
          </w:p>
          <w:p w14:paraId="3A266215" w14:textId="77777777" w:rsidR="00DF44FD" w:rsidRPr="00DF44FD" w:rsidRDefault="00DF44FD" w:rsidP="00DF44FD">
            <w:pPr>
              <w:spacing w:line="240" w:lineRule="auto"/>
              <w:contextualSpacing/>
              <w:rPr>
                <w:rFonts w:ascii="Lato" w:hAnsi="Lato" w:cs="Arial"/>
                <w:sz w:val="18"/>
                <w:szCs w:val="18"/>
              </w:rPr>
            </w:pPr>
          </w:p>
          <w:p w14:paraId="6D8D8682" w14:textId="77777777" w:rsidR="00DF44FD" w:rsidRPr="00DF44FD" w:rsidRDefault="00DF44FD" w:rsidP="00DF44FD">
            <w:pPr>
              <w:spacing w:line="240" w:lineRule="auto"/>
              <w:contextualSpacing/>
              <w:rPr>
                <w:rFonts w:ascii="Lato" w:hAnsi="Lato" w:cs="Arial"/>
                <w:sz w:val="18"/>
                <w:szCs w:val="18"/>
              </w:rPr>
            </w:pPr>
          </w:p>
          <w:p w14:paraId="696E22FC" w14:textId="77777777" w:rsidR="00DF44FD" w:rsidRPr="00DF44FD" w:rsidRDefault="00DF44FD" w:rsidP="00DF44FD">
            <w:pPr>
              <w:spacing w:line="240" w:lineRule="auto"/>
              <w:contextualSpacing/>
              <w:rPr>
                <w:rFonts w:ascii="Lato" w:hAnsi="Lato" w:cs="Arial"/>
                <w:sz w:val="18"/>
                <w:szCs w:val="18"/>
              </w:rPr>
            </w:pPr>
          </w:p>
          <w:p w14:paraId="4140FDD4" w14:textId="77777777" w:rsidR="00DF44FD" w:rsidRPr="00DF44FD" w:rsidRDefault="00DF44FD" w:rsidP="00DF44FD">
            <w:pPr>
              <w:spacing w:line="240" w:lineRule="auto"/>
              <w:contextualSpacing/>
              <w:rPr>
                <w:rFonts w:ascii="Lato" w:hAnsi="Lato" w:cs="Arial"/>
                <w:sz w:val="18"/>
                <w:szCs w:val="18"/>
              </w:rPr>
            </w:pPr>
          </w:p>
          <w:p w14:paraId="75569783" w14:textId="77777777" w:rsidR="00DF44FD" w:rsidRPr="00DF44FD" w:rsidRDefault="00DF44FD" w:rsidP="00DF44FD">
            <w:pPr>
              <w:spacing w:line="240" w:lineRule="auto"/>
              <w:contextualSpacing/>
              <w:rPr>
                <w:rFonts w:ascii="Lato" w:hAnsi="Lato" w:cs="Arial"/>
                <w:sz w:val="18"/>
                <w:szCs w:val="18"/>
              </w:rPr>
            </w:pPr>
          </w:p>
          <w:p w14:paraId="15FF7334" w14:textId="77777777" w:rsidR="00DF44FD" w:rsidRPr="00DF44FD" w:rsidRDefault="00DF44FD" w:rsidP="00DF44FD">
            <w:pPr>
              <w:spacing w:line="240" w:lineRule="auto"/>
              <w:contextualSpacing/>
              <w:rPr>
                <w:rFonts w:ascii="Lato" w:hAnsi="Lato" w:cs="Arial"/>
                <w:sz w:val="18"/>
                <w:szCs w:val="18"/>
              </w:rPr>
            </w:pPr>
          </w:p>
          <w:p w14:paraId="03F35A0D" w14:textId="77777777" w:rsidR="00DF44FD" w:rsidRPr="00DF44FD" w:rsidRDefault="00DF44FD" w:rsidP="00DF44FD">
            <w:pPr>
              <w:spacing w:line="240" w:lineRule="auto"/>
              <w:contextualSpacing/>
              <w:rPr>
                <w:rFonts w:ascii="Lato" w:hAnsi="Lato" w:cs="Arial"/>
                <w:sz w:val="18"/>
                <w:szCs w:val="18"/>
              </w:rPr>
            </w:pPr>
            <w:r w:rsidRPr="00DF44FD">
              <w:rPr>
                <w:rFonts w:ascii="Lato" w:hAnsi="Lato" w:cs="Arial"/>
                <w:sz w:val="18"/>
                <w:szCs w:val="18"/>
              </w:rPr>
              <w:t>Uwaga niezasadna</w:t>
            </w:r>
          </w:p>
          <w:p w14:paraId="29D25521" w14:textId="77777777" w:rsidR="00DF44FD" w:rsidRPr="00DF44FD" w:rsidRDefault="00DF44FD" w:rsidP="00DF44FD">
            <w:pPr>
              <w:spacing w:line="240" w:lineRule="auto"/>
              <w:contextualSpacing/>
              <w:rPr>
                <w:rFonts w:ascii="Lato" w:hAnsi="Lato" w:cs="Arial"/>
                <w:sz w:val="18"/>
                <w:szCs w:val="18"/>
              </w:rPr>
            </w:pPr>
            <w:r w:rsidRPr="00DF44FD">
              <w:rPr>
                <w:rFonts w:ascii="Lato" w:hAnsi="Lato" w:cs="Arial"/>
                <w:sz w:val="18"/>
                <w:szCs w:val="18"/>
              </w:rPr>
              <w:t xml:space="preserve">Dyrektywa przewiduje wprawdzie dyskwalifikacje tylko w przypadku leczenia cukrzycy insuliną, jednak według uzyskanej opinii specjalisty farmakologa klinicznego inne niż </w:t>
            </w:r>
            <w:proofErr w:type="spellStart"/>
            <w:r w:rsidRPr="00DF44FD">
              <w:rPr>
                <w:rFonts w:ascii="Lato" w:hAnsi="Lato" w:cs="Arial"/>
                <w:sz w:val="18"/>
                <w:szCs w:val="18"/>
              </w:rPr>
              <w:t>metformina</w:t>
            </w:r>
            <w:proofErr w:type="spellEnd"/>
            <w:r w:rsidRPr="00DF44FD">
              <w:rPr>
                <w:rFonts w:ascii="Lato" w:hAnsi="Lato" w:cs="Arial"/>
                <w:sz w:val="18"/>
                <w:szCs w:val="18"/>
              </w:rPr>
              <w:t xml:space="preserve"> leki mogą mieć wpływ hipoglikemizujący. Dlatego lekiem uznanym za bezpieczny dla dawcy i biorcy jest </w:t>
            </w:r>
            <w:proofErr w:type="spellStart"/>
            <w:r w:rsidRPr="00DF44FD">
              <w:rPr>
                <w:rFonts w:ascii="Lato" w:hAnsi="Lato" w:cs="Arial"/>
                <w:sz w:val="18"/>
                <w:szCs w:val="18"/>
              </w:rPr>
              <w:t>metformina</w:t>
            </w:r>
            <w:proofErr w:type="spellEnd"/>
            <w:r w:rsidRPr="00DF44FD">
              <w:rPr>
                <w:rFonts w:ascii="Lato" w:hAnsi="Lato" w:cs="Arial"/>
                <w:sz w:val="18"/>
                <w:szCs w:val="18"/>
              </w:rPr>
              <w:t xml:space="preserve">. </w:t>
            </w:r>
          </w:p>
        </w:tc>
      </w:tr>
      <w:tr w:rsidR="00DF44FD" w14:paraId="13890D2A" w14:textId="77777777" w:rsidTr="00DF44FD">
        <w:trPr>
          <w:trHeight w:val="276"/>
        </w:trPr>
        <w:tc>
          <w:tcPr>
            <w:tcW w:w="562" w:type="dxa"/>
            <w:tcBorders>
              <w:top w:val="single" w:sz="4" w:space="0" w:color="auto"/>
              <w:left w:val="single" w:sz="4" w:space="0" w:color="auto"/>
              <w:bottom w:val="single" w:sz="4" w:space="0" w:color="auto"/>
              <w:right w:val="single" w:sz="4" w:space="0" w:color="auto"/>
            </w:tcBorders>
            <w:vAlign w:val="center"/>
          </w:tcPr>
          <w:p w14:paraId="1ADF7E67" w14:textId="77777777" w:rsidR="00DF44FD" w:rsidRDefault="00DF44FD" w:rsidP="00DF44FD">
            <w:pPr>
              <w:pStyle w:val="Akapitzlist"/>
              <w:numPr>
                <w:ilvl w:val="0"/>
                <w:numId w:val="21"/>
              </w:numPr>
              <w:spacing w:after="0" w:line="240" w:lineRule="auto"/>
              <w:jc w:val="center"/>
              <w:rPr>
                <w:rFonts w:ascii="Arial" w:hAnsi="Arial" w:cs="Arial"/>
                <w:b/>
                <w:noProof/>
                <w:sz w:val="18"/>
                <w:szCs w:val="18"/>
              </w:rPr>
            </w:pPr>
          </w:p>
        </w:tc>
        <w:tc>
          <w:tcPr>
            <w:tcW w:w="1986" w:type="dxa"/>
            <w:tcBorders>
              <w:top w:val="single" w:sz="4" w:space="0" w:color="auto"/>
              <w:left w:val="single" w:sz="4" w:space="0" w:color="auto"/>
              <w:bottom w:val="single" w:sz="4" w:space="0" w:color="auto"/>
              <w:right w:val="single" w:sz="4" w:space="0" w:color="auto"/>
            </w:tcBorders>
            <w:vAlign w:val="center"/>
          </w:tcPr>
          <w:p w14:paraId="0B00F449" w14:textId="77777777" w:rsidR="00DF44FD" w:rsidRDefault="00DF44FD" w:rsidP="00DF44FD">
            <w:pPr>
              <w:spacing w:line="240" w:lineRule="auto"/>
              <w:contextualSpacing/>
              <w:jc w:val="center"/>
              <w:rPr>
                <w:rFonts w:ascii="Arial" w:hAnsi="Arial" w:cs="Arial"/>
                <w:b/>
                <w:sz w:val="18"/>
                <w:szCs w:val="18"/>
              </w:rPr>
            </w:pPr>
            <w:r>
              <w:rPr>
                <w:rFonts w:ascii="Arial" w:hAnsi="Arial" w:cs="Arial"/>
                <w:b/>
                <w:sz w:val="18"/>
                <w:szCs w:val="18"/>
              </w:rPr>
              <w:t>Krajowa Rada Transplantacyjna</w:t>
            </w:r>
          </w:p>
        </w:tc>
        <w:tc>
          <w:tcPr>
            <w:tcW w:w="8646" w:type="dxa"/>
            <w:tcBorders>
              <w:top w:val="single" w:sz="4" w:space="0" w:color="auto"/>
              <w:left w:val="single" w:sz="4" w:space="0" w:color="auto"/>
              <w:bottom w:val="single" w:sz="4" w:space="0" w:color="auto"/>
              <w:right w:val="single" w:sz="4" w:space="0" w:color="auto"/>
            </w:tcBorders>
          </w:tcPr>
          <w:p w14:paraId="3EA85735" w14:textId="77777777" w:rsidR="00DF44FD" w:rsidRPr="00DF44FD" w:rsidRDefault="00DF44FD" w:rsidP="00DF44FD">
            <w:pPr>
              <w:spacing w:after="0"/>
              <w:rPr>
                <w:rFonts w:ascii="Lato" w:hAnsi="Lato"/>
                <w:sz w:val="18"/>
                <w:szCs w:val="18"/>
              </w:rPr>
            </w:pPr>
            <w:r w:rsidRPr="00DF44FD">
              <w:rPr>
                <w:rFonts w:ascii="Lato" w:hAnsi="Lato"/>
                <w:sz w:val="18"/>
                <w:szCs w:val="18"/>
              </w:rPr>
              <w:t>w imieniu KRT przedstawiam następującą uwagi:</w:t>
            </w:r>
          </w:p>
          <w:p w14:paraId="5B26590E" w14:textId="77777777" w:rsidR="00DF44FD" w:rsidRPr="00DF44FD" w:rsidRDefault="00DF44FD" w:rsidP="00DF44FD">
            <w:pPr>
              <w:numPr>
                <w:ilvl w:val="0"/>
                <w:numId w:val="26"/>
              </w:numPr>
              <w:spacing w:before="100" w:beforeAutospacing="1" w:after="100" w:afterAutospacing="1" w:line="240" w:lineRule="auto"/>
              <w:rPr>
                <w:rFonts w:ascii="Lato" w:eastAsia="Times New Roman" w:hAnsi="Lato"/>
                <w:sz w:val="18"/>
                <w:szCs w:val="18"/>
                <w:lang w:eastAsia="pl-PL"/>
              </w:rPr>
            </w:pPr>
            <w:r w:rsidRPr="00DF44FD">
              <w:rPr>
                <w:rFonts w:ascii="Lato" w:hAnsi="Lato"/>
                <w:sz w:val="18"/>
                <w:szCs w:val="18"/>
              </w:rPr>
              <w:t xml:space="preserve">Pewne zdziwienie budzi  w proponowanym dokumencie </w:t>
            </w:r>
            <w:r w:rsidRPr="00DF44FD">
              <w:rPr>
                <w:rFonts w:ascii="Lato" w:eastAsia="Times New Roman" w:hAnsi="Lato"/>
                <w:sz w:val="18"/>
                <w:szCs w:val="18"/>
                <w:lang w:eastAsia="pl-PL"/>
              </w:rPr>
              <w:t xml:space="preserve"> "pierwszeństwo" badania malarii nad ryzykiem zakażenia HBV/HCV; z punktu widzenia częstości tych zakażeń na terenie Polski, w naszej opinii kolejność tych zdarzeń w dokumencie powinna być odwrotna;</w:t>
            </w:r>
          </w:p>
          <w:p w14:paraId="69334EE4" w14:textId="77777777" w:rsidR="00DF44FD" w:rsidRPr="00DF44FD" w:rsidRDefault="00DF44FD" w:rsidP="00DF44FD">
            <w:pPr>
              <w:numPr>
                <w:ilvl w:val="0"/>
                <w:numId w:val="26"/>
              </w:numPr>
              <w:spacing w:before="100" w:beforeAutospacing="1" w:after="100" w:afterAutospacing="1" w:line="240" w:lineRule="auto"/>
              <w:rPr>
                <w:rFonts w:ascii="Lato" w:eastAsia="Times New Roman" w:hAnsi="Lato"/>
                <w:sz w:val="18"/>
                <w:szCs w:val="18"/>
                <w:lang w:eastAsia="pl-PL"/>
              </w:rPr>
            </w:pPr>
            <w:r w:rsidRPr="00DF44FD">
              <w:rPr>
                <w:rFonts w:ascii="Lato" w:eastAsia="Times New Roman" w:hAnsi="Lato"/>
                <w:sz w:val="18"/>
                <w:szCs w:val="18"/>
                <w:lang w:eastAsia="pl-PL"/>
              </w:rPr>
              <w:t>wyniki "badań przeglądowych" u ozdrowieńców po przebytym wirusowym zakażeniu wątroby powinny być oparte na badaniu (wykluczeniu)  wiremii (a nie na "rutynowych" badaniach serologicznych), co nie jest uwzględnione w tym dokumencie.</w:t>
            </w:r>
          </w:p>
        </w:tc>
        <w:tc>
          <w:tcPr>
            <w:tcW w:w="3236" w:type="dxa"/>
            <w:tcBorders>
              <w:top w:val="single" w:sz="4" w:space="0" w:color="auto"/>
              <w:left w:val="single" w:sz="4" w:space="0" w:color="auto"/>
              <w:bottom w:val="single" w:sz="4" w:space="0" w:color="auto"/>
              <w:right w:val="single" w:sz="4" w:space="0" w:color="auto"/>
            </w:tcBorders>
          </w:tcPr>
          <w:p w14:paraId="706674BD" w14:textId="77777777" w:rsidR="00DF44FD" w:rsidRPr="00DF44FD" w:rsidRDefault="00DF44FD" w:rsidP="00DF44FD">
            <w:pPr>
              <w:spacing w:line="240" w:lineRule="auto"/>
              <w:contextualSpacing/>
              <w:rPr>
                <w:rFonts w:ascii="Lato" w:hAnsi="Lato" w:cs="Arial"/>
                <w:sz w:val="18"/>
                <w:szCs w:val="18"/>
              </w:rPr>
            </w:pPr>
            <w:r w:rsidRPr="00DF44FD">
              <w:rPr>
                <w:rFonts w:ascii="Lato" w:hAnsi="Lato" w:cs="Arial"/>
                <w:sz w:val="18"/>
                <w:szCs w:val="18"/>
              </w:rPr>
              <w:t xml:space="preserve">Uwaga niezasadna </w:t>
            </w:r>
          </w:p>
          <w:p w14:paraId="259976CA" w14:textId="77777777" w:rsidR="00DF44FD" w:rsidRPr="00DF44FD" w:rsidRDefault="00DF44FD" w:rsidP="00DF44FD">
            <w:pPr>
              <w:spacing w:line="240" w:lineRule="auto"/>
              <w:contextualSpacing/>
              <w:rPr>
                <w:rFonts w:ascii="Lato" w:hAnsi="Lato" w:cs="Arial"/>
                <w:sz w:val="18"/>
                <w:szCs w:val="18"/>
              </w:rPr>
            </w:pPr>
            <w:r w:rsidRPr="00DF44FD">
              <w:rPr>
                <w:rFonts w:ascii="Lato" w:hAnsi="Lato" w:cs="Arial"/>
                <w:sz w:val="18"/>
                <w:szCs w:val="18"/>
              </w:rPr>
              <w:t xml:space="preserve">Kolejność wymienianych badań nie ma bezpośredniego związku z </w:t>
            </w:r>
            <w:r w:rsidRPr="00DF44FD">
              <w:rPr>
                <w:rFonts w:ascii="Lato" w:hAnsi="Lato"/>
                <w:sz w:val="18"/>
                <w:szCs w:val="18"/>
              </w:rPr>
              <w:t>częstością</w:t>
            </w:r>
            <w:r w:rsidRPr="00DF44FD">
              <w:rPr>
                <w:rFonts w:ascii="Lato" w:hAnsi="Lato" w:cs="Arial"/>
                <w:sz w:val="18"/>
                <w:szCs w:val="18"/>
              </w:rPr>
              <w:t xml:space="preserve"> zakażeń na terenie Polski.</w:t>
            </w:r>
          </w:p>
          <w:p w14:paraId="0B6EEE3D" w14:textId="77777777" w:rsidR="00DF44FD" w:rsidRPr="00DF44FD" w:rsidRDefault="00DF44FD" w:rsidP="00DF44FD">
            <w:pPr>
              <w:spacing w:line="240" w:lineRule="auto"/>
              <w:contextualSpacing/>
              <w:rPr>
                <w:rFonts w:ascii="Lato" w:hAnsi="Lato" w:cs="Arial"/>
                <w:sz w:val="18"/>
                <w:szCs w:val="18"/>
              </w:rPr>
            </w:pPr>
          </w:p>
          <w:p w14:paraId="39B65F3F" w14:textId="77777777" w:rsidR="00DF44FD" w:rsidRPr="00DF44FD" w:rsidRDefault="00DF44FD" w:rsidP="00DF44FD">
            <w:pPr>
              <w:spacing w:line="240" w:lineRule="auto"/>
              <w:contextualSpacing/>
              <w:rPr>
                <w:rFonts w:ascii="Lato" w:hAnsi="Lato" w:cs="Arial"/>
                <w:sz w:val="18"/>
                <w:szCs w:val="18"/>
              </w:rPr>
            </w:pPr>
          </w:p>
          <w:p w14:paraId="2470B97F" w14:textId="77777777" w:rsidR="00DF44FD" w:rsidRPr="00DF44FD" w:rsidRDefault="00DF44FD" w:rsidP="00DF44FD">
            <w:pPr>
              <w:spacing w:line="240" w:lineRule="auto"/>
              <w:contextualSpacing/>
              <w:rPr>
                <w:rFonts w:ascii="Lato" w:hAnsi="Lato" w:cs="Arial"/>
                <w:sz w:val="18"/>
                <w:szCs w:val="18"/>
              </w:rPr>
            </w:pPr>
            <w:r w:rsidRPr="00DF44FD">
              <w:rPr>
                <w:rFonts w:ascii="Lato" w:hAnsi="Lato" w:cs="Arial"/>
                <w:sz w:val="18"/>
                <w:szCs w:val="18"/>
              </w:rPr>
              <w:t xml:space="preserve">Obowiązkowe badania przeglądowe w kierunku </w:t>
            </w:r>
            <w:r w:rsidRPr="00DF44FD">
              <w:rPr>
                <w:rFonts w:ascii="Lato" w:hAnsi="Lato"/>
                <w:sz w:val="18"/>
                <w:szCs w:val="18"/>
              </w:rPr>
              <w:t>HBV</w:t>
            </w:r>
            <w:r w:rsidRPr="00DF44FD">
              <w:rPr>
                <w:rFonts w:ascii="Lato" w:hAnsi="Lato" w:cs="Arial"/>
                <w:sz w:val="18"/>
                <w:szCs w:val="18"/>
              </w:rPr>
              <w:t>/HCV to obecnie NAT (badanie</w:t>
            </w:r>
            <w:r w:rsidRPr="00DF44FD">
              <w:rPr>
                <w:rFonts w:ascii="Lato" w:hAnsi="Lato"/>
                <w:sz w:val="18"/>
                <w:szCs w:val="18"/>
              </w:rPr>
              <w:t xml:space="preserve"> metodą analizy kwasów nukleinowych)</w:t>
            </w:r>
            <w:r w:rsidRPr="00DF44FD">
              <w:rPr>
                <w:rFonts w:ascii="Lato" w:hAnsi="Lato" w:cs="Arial"/>
                <w:sz w:val="18"/>
                <w:szCs w:val="18"/>
              </w:rPr>
              <w:t>.</w:t>
            </w:r>
          </w:p>
        </w:tc>
      </w:tr>
      <w:tr w:rsidR="00DF44FD" w14:paraId="491263EB" w14:textId="77777777" w:rsidTr="00DF44FD">
        <w:trPr>
          <w:trHeight w:val="276"/>
        </w:trPr>
        <w:tc>
          <w:tcPr>
            <w:tcW w:w="562" w:type="dxa"/>
            <w:tcBorders>
              <w:top w:val="single" w:sz="4" w:space="0" w:color="auto"/>
              <w:left w:val="single" w:sz="4" w:space="0" w:color="auto"/>
              <w:bottom w:val="single" w:sz="4" w:space="0" w:color="auto"/>
              <w:right w:val="single" w:sz="4" w:space="0" w:color="auto"/>
            </w:tcBorders>
            <w:vAlign w:val="center"/>
          </w:tcPr>
          <w:p w14:paraId="0BCAB770" w14:textId="77777777" w:rsidR="00DF44FD" w:rsidRDefault="00DF44FD" w:rsidP="00DF44FD">
            <w:pPr>
              <w:pStyle w:val="Akapitzlist"/>
              <w:numPr>
                <w:ilvl w:val="0"/>
                <w:numId w:val="21"/>
              </w:numPr>
              <w:spacing w:after="0" w:line="240" w:lineRule="auto"/>
              <w:jc w:val="center"/>
              <w:rPr>
                <w:rFonts w:ascii="Arial" w:hAnsi="Arial" w:cs="Arial"/>
                <w:b/>
                <w:noProof/>
                <w:sz w:val="18"/>
                <w:szCs w:val="18"/>
              </w:rPr>
            </w:pPr>
          </w:p>
        </w:tc>
        <w:tc>
          <w:tcPr>
            <w:tcW w:w="1986" w:type="dxa"/>
            <w:tcBorders>
              <w:top w:val="single" w:sz="4" w:space="0" w:color="auto"/>
              <w:left w:val="single" w:sz="4" w:space="0" w:color="auto"/>
              <w:bottom w:val="single" w:sz="4" w:space="0" w:color="auto"/>
              <w:right w:val="single" w:sz="4" w:space="0" w:color="auto"/>
            </w:tcBorders>
            <w:vAlign w:val="center"/>
          </w:tcPr>
          <w:p w14:paraId="7AEBF97C" w14:textId="77777777" w:rsidR="00DF44FD" w:rsidRDefault="00DF44FD" w:rsidP="00DF44FD">
            <w:pPr>
              <w:spacing w:line="240" w:lineRule="auto"/>
              <w:contextualSpacing/>
              <w:jc w:val="center"/>
              <w:rPr>
                <w:rFonts w:ascii="Arial" w:hAnsi="Arial" w:cs="Arial"/>
                <w:b/>
                <w:sz w:val="18"/>
                <w:szCs w:val="18"/>
              </w:rPr>
            </w:pPr>
            <w:proofErr w:type="spellStart"/>
            <w:r>
              <w:rPr>
                <w:rFonts w:ascii="Arial" w:hAnsi="Arial" w:cs="Arial"/>
                <w:b/>
                <w:sz w:val="18"/>
                <w:szCs w:val="18"/>
              </w:rPr>
              <w:t>RCKiK</w:t>
            </w:r>
            <w:proofErr w:type="spellEnd"/>
            <w:r>
              <w:rPr>
                <w:rFonts w:ascii="Arial" w:hAnsi="Arial" w:cs="Arial"/>
                <w:b/>
                <w:sz w:val="18"/>
                <w:szCs w:val="18"/>
              </w:rPr>
              <w:t xml:space="preserve"> Wrocław</w:t>
            </w:r>
          </w:p>
        </w:tc>
        <w:tc>
          <w:tcPr>
            <w:tcW w:w="8646" w:type="dxa"/>
            <w:tcBorders>
              <w:top w:val="single" w:sz="4" w:space="0" w:color="auto"/>
              <w:left w:val="single" w:sz="4" w:space="0" w:color="auto"/>
              <w:bottom w:val="single" w:sz="4" w:space="0" w:color="auto"/>
              <w:right w:val="single" w:sz="4" w:space="0" w:color="auto"/>
            </w:tcBorders>
          </w:tcPr>
          <w:p w14:paraId="49CEF3EC" w14:textId="77777777" w:rsidR="00DF44FD" w:rsidRPr="00DF44FD" w:rsidRDefault="00DF44FD" w:rsidP="00DF44FD">
            <w:pPr>
              <w:spacing w:after="0"/>
              <w:rPr>
                <w:rFonts w:ascii="Lato" w:hAnsi="Lato"/>
                <w:sz w:val="18"/>
                <w:szCs w:val="18"/>
              </w:rPr>
            </w:pPr>
            <w:r w:rsidRPr="00DF44FD">
              <w:rPr>
                <w:rFonts w:ascii="Lato" w:hAnsi="Lato"/>
                <w:sz w:val="18"/>
                <w:szCs w:val="18"/>
              </w:rPr>
              <w:t xml:space="preserve">Załącznik nr 1: </w:t>
            </w:r>
          </w:p>
          <w:p w14:paraId="2370718A" w14:textId="77777777" w:rsidR="00DF44FD" w:rsidRPr="00DF44FD" w:rsidRDefault="00DF44FD" w:rsidP="00DF44FD">
            <w:pPr>
              <w:spacing w:after="0"/>
              <w:rPr>
                <w:rFonts w:ascii="Lato" w:hAnsi="Lato"/>
                <w:sz w:val="18"/>
                <w:szCs w:val="18"/>
              </w:rPr>
            </w:pPr>
            <w:r w:rsidRPr="00DF44FD">
              <w:rPr>
                <w:rFonts w:ascii="Lato" w:hAnsi="Lato"/>
                <w:sz w:val="18"/>
                <w:szCs w:val="18"/>
              </w:rPr>
              <w:t>Jest: 17) konieczności stosowania diety bogatej w żelazo, a w przypadku dawców regularnych – wskazanej suplementacji żelaza.”;</w:t>
            </w:r>
          </w:p>
          <w:p w14:paraId="2BC07594" w14:textId="77777777" w:rsidR="00DF44FD" w:rsidRPr="00DF44FD" w:rsidRDefault="00DF44FD" w:rsidP="00DF44FD">
            <w:pPr>
              <w:spacing w:after="0"/>
              <w:rPr>
                <w:rFonts w:ascii="Lato" w:hAnsi="Lato"/>
                <w:sz w:val="18"/>
                <w:szCs w:val="18"/>
              </w:rPr>
            </w:pPr>
          </w:p>
          <w:p w14:paraId="116B7C52" w14:textId="77777777" w:rsidR="00DF44FD" w:rsidRPr="00DF44FD" w:rsidRDefault="00DF44FD" w:rsidP="00DF44FD">
            <w:pPr>
              <w:spacing w:after="0"/>
              <w:rPr>
                <w:rFonts w:ascii="Lato" w:hAnsi="Lato"/>
                <w:sz w:val="18"/>
                <w:szCs w:val="18"/>
              </w:rPr>
            </w:pPr>
            <w:r w:rsidRPr="00DF44FD">
              <w:rPr>
                <w:rFonts w:ascii="Lato" w:hAnsi="Lato"/>
                <w:sz w:val="18"/>
                <w:szCs w:val="18"/>
              </w:rPr>
              <w:t>Powinno być: 17) konieczności stosowania diety bogatej w żelazo, a w przypadku regularnych dawców krwi pełnej oraz erytroaferezy – zalecanej suplementacji żelaza.”;</w:t>
            </w:r>
          </w:p>
          <w:p w14:paraId="638D0930" w14:textId="77777777" w:rsidR="00DF44FD" w:rsidRPr="00DF44FD" w:rsidRDefault="00DF44FD" w:rsidP="00DF44FD">
            <w:pPr>
              <w:spacing w:after="0"/>
              <w:rPr>
                <w:rFonts w:ascii="Lato" w:hAnsi="Lato"/>
                <w:sz w:val="18"/>
                <w:szCs w:val="18"/>
              </w:rPr>
            </w:pPr>
            <w:r w:rsidRPr="00DF44FD">
              <w:rPr>
                <w:rFonts w:ascii="Lato" w:hAnsi="Lato"/>
                <w:sz w:val="18"/>
                <w:szCs w:val="18"/>
              </w:rPr>
              <w:t>Uzasadnienie: Suplementacja, żelazem nie jest konieczna jeśli dawca oddaje regularnie tylko płytki lub osocze, natomiast powinna być realizowana przy oddawaniu krwi pełnej lub koncentratu krwinek czerwonych z aferezy.</w:t>
            </w:r>
          </w:p>
        </w:tc>
        <w:tc>
          <w:tcPr>
            <w:tcW w:w="3236" w:type="dxa"/>
            <w:tcBorders>
              <w:top w:val="single" w:sz="4" w:space="0" w:color="auto"/>
              <w:left w:val="single" w:sz="4" w:space="0" w:color="auto"/>
              <w:bottom w:val="single" w:sz="4" w:space="0" w:color="auto"/>
              <w:right w:val="single" w:sz="4" w:space="0" w:color="auto"/>
            </w:tcBorders>
          </w:tcPr>
          <w:p w14:paraId="34A66781" w14:textId="77777777" w:rsidR="00DF44FD" w:rsidRPr="00DF44FD" w:rsidRDefault="00DF44FD" w:rsidP="00DF44FD">
            <w:pPr>
              <w:spacing w:line="240" w:lineRule="auto"/>
              <w:contextualSpacing/>
              <w:rPr>
                <w:rFonts w:ascii="Lato" w:hAnsi="Lato" w:cs="Arial"/>
                <w:sz w:val="18"/>
                <w:szCs w:val="18"/>
              </w:rPr>
            </w:pPr>
            <w:r w:rsidRPr="00DF44FD">
              <w:rPr>
                <w:rFonts w:ascii="Lato" w:hAnsi="Lato" w:cs="Arial"/>
                <w:sz w:val="18"/>
                <w:szCs w:val="18"/>
              </w:rPr>
              <w:t xml:space="preserve">Uwaga zasadna </w:t>
            </w:r>
          </w:p>
          <w:p w14:paraId="6EDD9D5F" w14:textId="77777777" w:rsidR="00DF44FD" w:rsidRPr="00DF44FD" w:rsidRDefault="00DF44FD" w:rsidP="00DF44FD">
            <w:pPr>
              <w:spacing w:line="240" w:lineRule="auto"/>
              <w:contextualSpacing/>
              <w:rPr>
                <w:rFonts w:ascii="Lato" w:hAnsi="Lato" w:cs="Arial"/>
                <w:sz w:val="18"/>
                <w:szCs w:val="18"/>
              </w:rPr>
            </w:pPr>
            <w:r w:rsidRPr="00DF44FD">
              <w:rPr>
                <w:rFonts w:ascii="Lato" w:hAnsi="Lato" w:cs="Arial"/>
                <w:sz w:val="18"/>
                <w:szCs w:val="18"/>
              </w:rPr>
              <w:t>Proponowany zapis:</w:t>
            </w:r>
          </w:p>
          <w:p w14:paraId="46EB39BA" w14:textId="77777777" w:rsidR="00DF44FD" w:rsidRPr="00DF44FD" w:rsidRDefault="00DF44FD" w:rsidP="00DF44FD">
            <w:pPr>
              <w:spacing w:line="240" w:lineRule="auto"/>
              <w:contextualSpacing/>
              <w:rPr>
                <w:rFonts w:ascii="Lato" w:hAnsi="Lato" w:cs="Arial"/>
                <w:sz w:val="18"/>
                <w:szCs w:val="18"/>
              </w:rPr>
            </w:pPr>
            <w:r w:rsidRPr="00DF44FD">
              <w:rPr>
                <w:rFonts w:ascii="Lato" w:hAnsi="Lato" w:cs="Arial"/>
                <w:sz w:val="18"/>
                <w:szCs w:val="18"/>
              </w:rPr>
              <w:t>konieczności stosowania diety bogatej w żelazo, a w przypadku regularnych dawców krwi pełnej lub krwinek czerwonych metodą aferezy – zalecanej suplementacji żelaza.</w:t>
            </w:r>
          </w:p>
        </w:tc>
      </w:tr>
      <w:tr w:rsidR="00DF44FD" w14:paraId="01890B08" w14:textId="77777777" w:rsidTr="00DF44FD">
        <w:trPr>
          <w:trHeight w:val="276"/>
        </w:trPr>
        <w:tc>
          <w:tcPr>
            <w:tcW w:w="562" w:type="dxa"/>
            <w:tcBorders>
              <w:top w:val="single" w:sz="4" w:space="0" w:color="auto"/>
              <w:left w:val="single" w:sz="4" w:space="0" w:color="auto"/>
              <w:bottom w:val="single" w:sz="4" w:space="0" w:color="auto"/>
              <w:right w:val="single" w:sz="4" w:space="0" w:color="auto"/>
            </w:tcBorders>
            <w:vAlign w:val="center"/>
          </w:tcPr>
          <w:p w14:paraId="619015EC" w14:textId="77777777" w:rsidR="00DF44FD" w:rsidRDefault="00DF44FD" w:rsidP="00DF44FD">
            <w:pPr>
              <w:pStyle w:val="Akapitzlist"/>
              <w:numPr>
                <w:ilvl w:val="0"/>
                <w:numId w:val="21"/>
              </w:numPr>
              <w:spacing w:after="0" w:line="240" w:lineRule="auto"/>
              <w:jc w:val="center"/>
              <w:rPr>
                <w:rFonts w:ascii="Arial" w:hAnsi="Arial" w:cs="Arial"/>
                <w:b/>
                <w:noProof/>
                <w:sz w:val="18"/>
                <w:szCs w:val="18"/>
              </w:rPr>
            </w:pPr>
          </w:p>
        </w:tc>
        <w:tc>
          <w:tcPr>
            <w:tcW w:w="1986" w:type="dxa"/>
            <w:tcBorders>
              <w:top w:val="single" w:sz="4" w:space="0" w:color="auto"/>
              <w:left w:val="single" w:sz="4" w:space="0" w:color="auto"/>
              <w:bottom w:val="single" w:sz="4" w:space="0" w:color="auto"/>
              <w:right w:val="single" w:sz="4" w:space="0" w:color="auto"/>
            </w:tcBorders>
            <w:vAlign w:val="center"/>
          </w:tcPr>
          <w:p w14:paraId="6FA5D99F" w14:textId="77777777" w:rsidR="00DF44FD" w:rsidRDefault="00DF44FD" w:rsidP="00DF44FD">
            <w:pPr>
              <w:spacing w:line="240" w:lineRule="auto"/>
              <w:contextualSpacing/>
              <w:jc w:val="center"/>
              <w:rPr>
                <w:rFonts w:ascii="Arial" w:hAnsi="Arial" w:cs="Arial"/>
                <w:b/>
                <w:sz w:val="18"/>
                <w:szCs w:val="18"/>
              </w:rPr>
            </w:pPr>
            <w:r>
              <w:rPr>
                <w:rFonts w:eastAsia="Times New Roman"/>
              </w:rPr>
              <w:t xml:space="preserve">z systemu </w:t>
            </w:r>
            <w:hyperlink r:id="rId9" w:history="1">
              <w:r>
                <w:rPr>
                  <w:rStyle w:val="Hipercze"/>
                  <w:rFonts w:eastAsia="Times New Roman"/>
                </w:rPr>
                <w:t>legislacja.rcl.gov.pl</w:t>
              </w:r>
            </w:hyperlink>
          </w:p>
        </w:tc>
        <w:tc>
          <w:tcPr>
            <w:tcW w:w="8646" w:type="dxa"/>
            <w:tcBorders>
              <w:top w:val="single" w:sz="4" w:space="0" w:color="auto"/>
              <w:left w:val="single" w:sz="4" w:space="0" w:color="auto"/>
              <w:bottom w:val="single" w:sz="4" w:space="0" w:color="auto"/>
              <w:right w:val="single" w:sz="4" w:space="0" w:color="auto"/>
            </w:tcBorders>
          </w:tcPr>
          <w:p w14:paraId="489A8F43" w14:textId="77777777" w:rsidR="00DF44FD" w:rsidRPr="00DF44FD" w:rsidRDefault="00DF44FD" w:rsidP="00DF44FD">
            <w:pPr>
              <w:spacing w:after="0"/>
              <w:rPr>
                <w:rFonts w:ascii="Lato" w:hAnsi="Lato"/>
                <w:sz w:val="18"/>
                <w:szCs w:val="18"/>
              </w:rPr>
            </w:pPr>
            <w:r w:rsidRPr="00DF44FD">
              <w:rPr>
                <w:rFonts w:ascii="Lato" w:eastAsia="Times New Roman" w:hAnsi="Lato"/>
                <w:sz w:val="18"/>
                <w:szCs w:val="18"/>
              </w:rPr>
              <w:t>Autor komentarza: Paulina Polak (</w:t>
            </w:r>
            <w:hyperlink r:id="rId10" w:history="1">
              <w:r w:rsidRPr="00DF44FD">
                <w:rPr>
                  <w:rStyle w:val="Hipercze"/>
                  <w:rFonts w:ascii="Lato" w:eastAsia="Times New Roman" w:hAnsi="Lato"/>
                  <w:sz w:val="18"/>
                  <w:szCs w:val="18"/>
                </w:rPr>
                <w:t>paulqa094@gmail.com</w:t>
              </w:r>
            </w:hyperlink>
            <w:r w:rsidRPr="00DF44FD">
              <w:rPr>
                <w:rFonts w:ascii="Lato" w:eastAsia="Times New Roman" w:hAnsi="Lato"/>
                <w:sz w:val="18"/>
                <w:szCs w:val="18"/>
              </w:rPr>
              <w:t>)</w:t>
            </w:r>
            <w:r w:rsidRPr="00DF44FD">
              <w:rPr>
                <w:rFonts w:ascii="Lato" w:eastAsia="Times New Roman" w:hAnsi="Lato"/>
                <w:sz w:val="18"/>
                <w:szCs w:val="18"/>
              </w:rPr>
              <w:br/>
            </w:r>
            <w:r w:rsidRPr="00DF44FD">
              <w:rPr>
                <w:rFonts w:ascii="Lato" w:eastAsia="Times New Roman" w:hAnsi="Lato"/>
                <w:sz w:val="18"/>
                <w:szCs w:val="18"/>
              </w:rPr>
              <w:br/>
              <w:t>Treść komentarza:</w:t>
            </w:r>
            <w:r w:rsidRPr="00DF44FD">
              <w:rPr>
                <w:rFonts w:ascii="Lato" w:eastAsia="Times New Roman" w:hAnsi="Lato"/>
                <w:sz w:val="18"/>
                <w:szCs w:val="18"/>
              </w:rPr>
              <w:br/>
            </w:r>
            <w:r w:rsidRPr="00DF44FD">
              <w:rPr>
                <w:rFonts w:ascii="Lato" w:eastAsia="Times New Roman" w:hAnsi="Lato"/>
                <w:sz w:val="18"/>
                <w:szCs w:val="18"/>
              </w:rPr>
              <w:br/>
              <w:t>Osoby z lekką niedoczynnością tarczycy powinny być kwalifikowane indywidualnie przez lekarza do oddania krwi, jednym z warunków powinno być okazanie aktualnych wyników badań (z ważnością 30/90 dni) a zwłaszcza parametrów obrazujących stan tarczycy (TSH, FT3, FT4), udokumentowanie przyjmowanego leku + zaświadczenie od prowadzącego lekarza endokrynologa o braku przeciwskazań do oddawania krwi</w:t>
            </w:r>
            <w:r w:rsidRPr="00DF44FD">
              <w:rPr>
                <w:rFonts w:ascii="Lato" w:eastAsia="Times New Roman" w:hAnsi="Lato"/>
                <w:sz w:val="18"/>
                <w:szCs w:val="18"/>
              </w:rPr>
              <w:br/>
            </w:r>
          </w:p>
        </w:tc>
        <w:tc>
          <w:tcPr>
            <w:tcW w:w="3236" w:type="dxa"/>
            <w:tcBorders>
              <w:top w:val="single" w:sz="4" w:space="0" w:color="auto"/>
              <w:left w:val="single" w:sz="4" w:space="0" w:color="auto"/>
              <w:bottom w:val="single" w:sz="4" w:space="0" w:color="auto"/>
              <w:right w:val="single" w:sz="4" w:space="0" w:color="auto"/>
            </w:tcBorders>
          </w:tcPr>
          <w:p w14:paraId="6C76E9C2" w14:textId="77777777" w:rsidR="00DF44FD" w:rsidRPr="00DF44FD" w:rsidRDefault="00DF44FD" w:rsidP="00DF44FD">
            <w:pPr>
              <w:spacing w:line="240" w:lineRule="auto"/>
              <w:contextualSpacing/>
              <w:rPr>
                <w:rFonts w:ascii="Lato" w:hAnsi="Lato" w:cs="Arial"/>
                <w:sz w:val="18"/>
                <w:szCs w:val="18"/>
              </w:rPr>
            </w:pPr>
            <w:r w:rsidRPr="00DF44FD">
              <w:rPr>
                <w:rFonts w:ascii="Lato" w:hAnsi="Lato" w:cs="Arial"/>
                <w:sz w:val="18"/>
                <w:szCs w:val="18"/>
              </w:rPr>
              <w:t>Uwaga niezasadna</w:t>
            </w:r>
          </w:p>
          <w:p w14:paraId="28F2B150" w14:textId="77777777" w:rsidR="00DF44FD" w:rsidRPr="00DF44FD" w:rsidRDefault="00DF44FD" w:rsidP="00DF44FD">
            <w:pPr>
              <w:spacing w:line="240" w:lineRule="auto"/>
              <w:contextualSpacing/>
              <w:rPr>
                <w:rFonts w:ascii="Lato" w:hAnsi="Lato" w:cs="Arial"/>
                <w:sz w:val="18"/>
                <w:szCs w:val="18"/>
              </w:rPr>
            </w:pPr>
            <w:r w:rsidRPr="00DF44FD">
              <w:rPr>
                <w:rFonts w:ascii="Lato" w:hAnsi="Lato" w:cs="Arial"/>
                <w:sz w:val="18"/>
                <w:szCs w:val="18"/>
              </w:rPr>
              <w:t>Dyrektywa nie zawiera zapisów dotyczących zasad postępowania w takich przypadkach; decyzja należy do osoby kwalifikującej.</w:t>
            </w:r>
          </w:p>
        </w:tc>
      </w:tr>
      <w:tr w:rsidR="00DF44FD" w14:paraId="574E2137" w14:textId="77777777" w:rsidTr="00DF44FD">
        <w:trPr>
          <w:trHeight w:val="276"/>
        </w:trPr>
        <w:tc>
          <w:tcPr>
            <w:tcW w:w="562" w:type="dxa"/>
            <w:tcBorders>
              <w:top w:val="single" w:sz="4" w:space="0" w:color="auto"/>
              <w:left w:val="single" w:sz="4" w:space="0" w:color="auto"/>
              <w:bottom w:val="single" w:sz="4" w:space="0" w:color="auto"/>
              <w:right w:val="single" w:sz="4" w:space="0" w:color="auto"/>
            </w:tcBorders>
            <w:vAlign w:val="center"/>
          </w:tcPr>
          <w:p w14:paraId="0178D188" w14:textId="77777777" w:rsidR="00DF44FD" w:rsidRDefault="00DF44FD" w:rsidP="00DF44FD">
            <w:pPr>
              <w:pStyle w:val="Akapitzlist"/>
              <w:numPr>
                <w:ilvl w:val="0"/>
                <w:numId w:val="21"/>
              </w:numPr>
              <w:spacing w:after="0" w:line="240" w:lineRule="auto"/>
              <w:jc w:val="center"/>
              <w:rPr>
                <w:rFonts w:ascii="Arial" w:hAnsi="Arial" w:cs="Arial"/>
                <w:b/>
                <w:noProof/>
                <w:sz w:val="18"/>
                <w:szCs w:val="18"/>
              </w:rPr>
            </w:pPr>
          </w:p>
        </w:tc>
        <w:tc>
          <w:tcPr>
            <w:tcW w:w="1986" w:type="dxa"/>
            <w:tcBorders>
              <w:top w:val="single" w:sz="4" w:space="0" w:color="auto"/>
              <w:left w:val="single" w:sz="4" w:space="0" w:color="auto"/>
              <w:bottom w:val="single" w:sz="4" w:space="0" w:color="auto"/>
              <w:right w:val="single" w:sz="4" w:space="0" w:color="auto"/>
            </w:tcBorders>
            <w:vAlign w:val="center"/>
          </w:tcPr>
          <w:p w14:paraId="130AF48D" w14:textId="77777777" w:rsidR="00DF44FD" w:rsidRPr="00E54B6E" w:rsidRDefault="00DF44FD" w:rsidP="00DF44FD">
            <w:pPr>
              <w:spacing w:line="240" w:lineRule="auto"/>
              <w:contextualSpacing/>
              <w:jc w:val="center"/>
              <w:rPr>
                <w:rFonts w:ascii="Lato" w:eastAsia="Times New Roman" w:hAnsi="Lato"/>
                <w:sz w:val="18"/>
                <w:szCs w:val="18"/>
              </w:rPr>
            </w:pPr>
            <w:r w:rsidRPr="00E54B6E">
              <w:rPr>
                <w:rFonts w:ascii="Lato" w:eastAsia="Times New Roman" w:hAnsi="Lato"/>
                <w:sz w:val="18"/>
                <w:szCs w:val="18"/>
              </w:rPr>
              <w:t xml:space="preserve">Z systemu </w:t>
            </w:r>
            <w:hyperlink r:id="rId11" w:history="1">
              <w:r w:rsidRPr="00E54B6E">
                <w:rPr>
                  <w:rStyle w:val="Hipercze"/>
                  <w:rFonts w:ascii="Lato" w:eastAsia="Times New Roman" w:hAnsi="Lato"/>
                  <w:sz w:val="18"/>
                  <w:szCs w:val="18"/>
                </w:rPr>
                <w:t>legislacja.rcl.gov.pl</w:t>
              </w:r>
            </w:hyperlink>
          </w:p>
        </w:tc>
        <w:tc>
          <w:tcPr>
            <w:tcW w:w="8646" w:type="dxa"/>
            <w:tcBorders>
              <w:top w:val="single" w:sz="4" w:space="0" w:color="auto"/>
              <w:left w:val="single" w:sz="4" w:space="0" w:color="auto"/>
              <w:bottom w:val="single" w:sz="4" w:space="0" w:color="auto"/>
              <w:right w:val="single" w:sz="4" w:space="0" w:color="auto"/>
            </w:tcBorders>
          </w:tcPr>
          <w:p w14:paraId="26546F4B" w14:textId="77777777" w:rsidR="00DF44FD" w:rsidRPr="00E54B6E" w:rsidRDefault="00DF44FD" w:rsidP="00DF44FD">
            <w:pPr>
              <w:spacing w:after="0"/>
              <w:rPr>
                <w:rFonts w:ascii="Lato" w:eastAsia="Times New Roman" w:hAnsi="Lato"/>
                <w:sz w:val="18"/>
                <w:szCs w:val="18"/>
              </w:rPr>
            </w:pPr>
            <w:r w:rsidRPr="00E54B6E">
              <w:rPr>
                <w:rFonts w:ascii="Lato" w:eastAsia="Times New Roman" w:hAnsi="Lato"/>
                <w:sz w:val="18"/>
                <w:szCs w:val="18"/>
              </w:rPr>
              <w:t>Autor komentarza: Mateusz Jakut (</w:t>
            </w:r>
            <w:hyperlink r:id="rId12" w:history="1">
              <w:r w:rsidRPr="00E54B6E">
                <w:rPr>
                  <w:rStyle w:val="Hipercze"/>
                  <w:rFonts w:ascii="Lato" w:eastAsia="Times New Roman" w:hAnsi="Lato"/>
                  <w:sz w:val="18"/>
                  <w:szCs w:val="18"/>
                </w:rPr>
                <w:t>mateusz.jakut@gmail.com</w:t>
              </w:r>
            </w:hyperlink>
            <w:r w:rsidRPr="00E54B6E">
              <w:rPr>
                <w:rFonts w:ascii="Lato" w:eastAsia="Times New Roman" w:hAnsi="Lato"/>
                <w:sz w:val="18"/>
                <w:szCs w:val="18"/>
              </w:rPr>
              <w:t>)</w:t>
            </w:r>
            <w:r w:rsidRPr="00E54B6E">
              <w:rPr>
                <w:rFonts w:ascii="Lato" w:eastAsia="Times New Roman" w:hAnsi="Lato"/>
                <w:sz w:val="18"/>
                <w:szCs w:val="18"/>
              </w:rPr>
              <w:br/>
            </w:r>
            <w:r w:rsidRPr="00E54B6E">
              <w:rPr>
                <w:rFonts w:ascii="Lato" w:eastAsia="Times New Roman" w:hAnsi="Lato"/>
                <w:sz w:val="18"/>
                <w:szCs w:val="18"/>
              </w:rPr>
              <w:br/>
              <w:t>Treść komentarza:</w:t>
            </w:r>
            <w:r w:rsidRPr="00E54B6E">
              <w:rPr>
                <w:rFonts w:ascii="Lato" w:eastAsia="Times New Roman" w:hAnsi="Lato"/>
                <w:sz w:val="18"/>
                <w:szCs w:val="18"/>
              </w:rPr>
              <w:br/>
            </w:r>
            <w:r w:rsidRPr="00E54B6E">
              <w:rPr>
                <w:rFonts w:ascii="Lato" w:eastAsia="Times New Roman" w:hAnsi="Lato"/>
                <w:sz w:val="18"/>
                <w:szCs w:val="18"/>
              </w:rPr>
              <w:br/>
              <w:t xml:space="preserve">Dzień dobry, proszę o rozważenie zmiany przepisu zaproponowanego w §2 pkt. g gdzie dodaje się liczbę porządkową 15 z: "kandydaci na dawców krwi lub dawcy krwi mogą zostać dopuszczeni do pobrania tylko krwi pełnej, jeżeli są leczeni dietą lub metforminą" na "kandydaci na dawców krwi lub dawcy krwi mogą zostać dopuszczeni do pobrania tylko krwi pełnej, jeżeli są leczeni dietą lub </w:t>
            </w:r>
            <w:proofErr w:type="spellStart"/>
            <w:r w:rsidRPr="00E54B6E">
              <w:rPr>
                <w:rFonts w:ascii="Lato" w:eastAsia="Times New Roman" w:hAnsi="Lato"/>
                <w:sz w:val="18"/>
                <w:szCs w:val="18"/>
              </w:rPr>
              <w:t>metforminą</w:t>
            </w:r>
            <w:proofErr w:type="spellEnd"/>
            <w:r w:rsidRPr="00E54B6E">
              <w:rPr>
                <w:rFonts w:ascii="Lato" w:eastAsia="Times New Roman" w:hAnsi="Lato"/>
                <w:sz w:val="18"/>
                <w:szCs w:val="18"/>
              </w:rPr>
              <w:t xml:space="preserve"> i/lub </w:t>
            </w:r>
            <w:proofErr w:type="spellStart"/>
            <w:r w:rsidRPr="00E54B6E">
              <w:rPr>
                <w:rFonts w:ascii="Lato" w:eastAsia="Times New Roman" w:hAnsi="Lato"/>
                <w:sz w:val="18"/>
                <w:szCs w:val="18"/>
              </w:rPr>
              <w:t>flozynami</w:t>
            </w:r>
            <w:proofErr w:type="spellEnd"/>
            <w:r w:rsidRPr="00E54B6E">
              <w:rPr>
                <w:rFonts w:ascii="Lato" w:eastAsia="Times New Roman" w:hAnsi="Lato"/>
                <w:sz w:val="18"/>
                <w:szCs w:val="18"/>
              </w:rPr>
              <w:t>".</w:t>
            </w:r>
          </w:p>
        </w:tc>
        <w:tc>
          <w:tcPr>
            <w:tcW w:w="3236" w:type="dxa"/>
            <w:tcBorders>
              <w:top w:val="single" w:sz="4" w:space="0" w:color="auto"/>
              <w:left w:val="single" w:sz="4" w:space="0" w:color="auto"/>
              <w:bottom w:val="single" w:sz="4" w:space="0" w:color="auto"/>
              <w:right w:val="single" w:sz="4" w:space="0" w:color="auto"/>
            </w:tcBorders>
          </w:tcPr>
          <w:p w14:paraId="103E65EE" w14:textId="77777777" w:rsidR="00DF44FD" w:rsidRPr="00E54B6E" w:rsidRDefault="00DF44FD" w:rsidP="00DF44FD">
            <w:pPr>
              <w:spacing w:line="240" w:lineRule="auto"/>
              <w:contextualSpacing/>
              <w:rPr>
                <w:rFonts w:ascii="Lato" w:hAnsi="Lato" w:cs="Arial"/>
                <w:sz w:val="18"/>
                <w:szCs w:val="18"/>
              </w:rPr>
            </w:pPr>
            <w:r w:rsidRPr="00E54B6E">
              <w:rPr>
                <w:rFonts w:ascii="Lato" w:hAnsi="Lato" w:cs="Arial"/>
                <w:sz w:val="18"/>
                <w:szCs w:val="18"/>
              </w:rPr>
              <w:t xml:space="preserve">Uwaga niezasadna </w:t>
            </w:r>
          </w:p>
          <w:p w14:paraId="44D916D7" w14:textId="77777777" w:rsidR="00DF44FD" w:rsidRPr="00E54B6E" w:rsidRDefault="00DF44FD" w:rsidP="00DF44FD">
            <w:pPr>
              <w:spacing w:line="240" w:lineRule="auto"/>
              <w:contextualSpacing/>
              <w:rPr>
                <w:rFonts w:ascii="Lato" w:hAnsi="Lato" w:cs="Arial"/>
                <w:sz w:val="18"/>
                <w:szCs w:val="18"/>
              </w:rPr>
            </w:pPr>
            <w:r w:rsidRPr="00E54B6E">
              <w:rPr>
                <w:rFonts w:ascii="Lato" w:hAnsi="Lato" w:cs="Arial"/>
                <w:sz w:val="18"/>
                <w:szCs w:val="18"/>
              </w:rPr>
              <w:t xml:space="preserve">Dyrektywa przewiduje wprawdzie dyskwalifikacje tylko w przypadku leczenia cukrzycy insuliną, jednak według uzyskanej opinii specjalisty farmakologa klinicznego inne niż </w:t>
            </w:r>
            <w:proofErr w:type="spellStart"/>
            <w:r w:rsidRPr="00E54B6E">
              <w:rPr>
                <w:rFonts w:ascii="Lato" w:hAnsi="Lato" w:cs="Arial"/>
                <w:sz w:val="18"/>
                <w:szCs w:val="18"/>
              </w:rPr>
              <w:t>metformina</w:t>
            </w:r>
            <w:proofErr w:type="spellEnd"/>
            <w:r w:rsidRPr="00E54B6E">
              <w:rPr>
                <w:rFonts w:ascii="Lato" w:hAnsi="Lato" w:cs="Arial"/>
                <w:sz w:val="18"/>
                <w:szCs w:val="18"/>
              </w:rPr>
              <w:t xml:space="preserve"> leki mogą mieć wpływ hipoglikemizujący. Dlatego lekiem uznanym za bezpieczny dla dawcy i biorcy jest </w:t>
            </w:r>
            <w:proofErr w:type="spellStart"/>
            <w:r w:rsidRPr="00E54B6E">
              <w:rPr>
                <w:rFonts w:ascii="Lato" w:hAnsi="Lato" w:cs="Arial"/>
                <w:sz w:val="18"/>
                <w:szCs w:val="18"/>
              </w:rPr>
              <w:t>metformina</w:t>
            </w:r>
            <w:proofErr w:type="spellEnd"/>
            <w:r w:rsidRPr="00E54B6E">
              <w:rPr>
                <w:rFonts w:ascii="Lato" w:hAnsi="Lato" w:cs="Arial"/>
                <w:sz w:val="18"/>
                <w:szCs w:val="18"/>
              </w:rPr>
              <w:t>.</w:t>
            </w:r>
          </w:p>
        </w:tc>
      </w:tr>
      <w:tr w:rsidR="00DF44FD" w14:paraId="673373BD" w14:textId="77777777" w:rsidTr="00DF44FD">
        <w:trPr>
          <w:trHeight w:val="276"/>
        </w:trPr>
        <w:tc>
          <w:tcPr>
            <w:tcW w:w="562" w:type="dxa"/>
            <w:tcBorders>
              <w:top w:val="single" w:sz="4" w:space="0" w:color="auto"/>
              <w:left w:val="single" w:sz="4" w:space="0" w:color="auto"/>
              <w:bottom w:val="single" w:sz="4" w:space="0" w:color="auto"/>
              <w:right w:val="single" w:sz="4" w:space="0" w:color="auto"/>
            </w:tcBorders>
            <w:vAlign w:val="center"/>
          </w:tcPr>
          <w:p w14:paraId="6B5D1ABD" w14:textId="77777777" w:rsidR="00DF44FD" w:rsidRDefault="00DF44FD" w:rsidP="00DF44FD">
            <w:pPr>
              <w:pStyle w:val="Akapitzlist"/>
              <w:numPr>
                <w:ilvl w:val="0"/>
                <w:numId w:val="21"/>
              </w:numPr>
              <w:spacing w:after="0" w:line="240" w:lineRule="auto"/>
              <w:jc w:val="center"/>
              <w:rPr>
                <w:rFonts w:ascii="Arial" w:hAnsi="Arial" w:cs="Arial"/>
                <w:b/>
                <w:noProof/>
                <w:sz w:val="18"/>
                <w:szCs w:val="18"/>
              </w:rPr>
            </w:pPr>
          </w:p>
        </w:tc>
        <w:tc>
          <w:tcPr>
            <w:tcW w:w="1986" w:type="dxa"/>
            <w:tcBorders>
              <w:top w:val="single" w:sz="4" w:space="0" w:color="auto"/>
              <w:left w:val="single" w:sz="4" w:space="0" w:color="auto"/>
              <w:bottom w:val="single" w:sz="4" w:space="0" w:color="auto"/>
              <w:right w:val="single" w:sz="4" w:space="0" w:color="auto"/>
            </w:tcBorders>
            <w:vAlign w:val="center"/>
          </w:tcPr>
          <w:p w14:paraId="6DD7A3BE" w14:textId="77777777" w:rsidR="00DF44FD" w:rsidRPr="00E54B6E" w:rsidRDefault="00DF44FD" w:rsidP="00DF44FD">
            <w:pPr>
              <w:spacing w:line="240" w:lineRule="auto"/>
              <w:contextualSpacing/>
              <w:jc w:val="center"/>
              <w:rPr>
                <w:rFonts w:ascii="Lato" w:eastAsia="Times New Roman" w:hAnsi="Lato"/>
                <w:sz w:val="18"/>
                <w:szCs w:val="18"/>
              </w:rPr>
            </w:pPr>
            <w:r w:rsidRPr="00E54B6E">
              <w:rPr>
                <w:rFonts w:ascii="Lato" w:eastAsia="Times New Roman" w:hAnsi="Lato"/>
                <w:sz w:val="18"/>
                <w:szCs w:val="18"/>
              </w:rPr>
              <w:t>Pracodawcy RP</w:t>
            </w:r>
          </w:p>
        </w:tc>
        <w:tc>
          <w:tcPr>
            <w:tcW w:w="8646" w:type="dxa"/>
            <w:tcBorders>
              <w:top w:val="single" w:sz="4" w:space="0" w:color="auto"/>
              <w:left w:val="single" w:sz="4" w:space="0" w:color="auto"/>
              <w:bottom w:val="single" w:sz="4" w:space="0" w:color="auto"/>
              <w:right w:val="single" w:sz="4" w:space="0" w:color="auto"/>
            </w:tcBorders>
          </w:tcPr>
          <w:p w14:paraId="04B19D33" w14:textId="77777777" w:rsidR="00DF44FD" w:rsidRPr="00E54B6E" w:rsidRDefault="00DF44FD" w:rsidP="00DF44FD">
            <w:pPr>
              <w:spacing w:after="0"/>
              <w:rPr>
                <w:rFonts w:ascii="Lato" w:eastAsia="Times New Roman" w:hAnsi="Lato"/>
                <w:sz w:val="18"/>
                <w:szCs w:val="18"/>
              </w:rPr>
            </w:pPr>
            <w:r w:rsidRPr="00E54B6E">
              <w:rPr>
                <w:rFonts w:ascii="Lato" w:eastAsia="Times New Roman" w:hAnsi="Lato"/>
                <w:sz w:val="18"/>
                <w:szCs w:val="18"/>
              </w:rPr>
              <w:t>1)</w:t>
            </w:r>
            <w:r w:rsidRPr="00E54B6E">
              <w:rPr>
                <w:rFonts w:ascii="Lato" w:eastAsia="Times New Roman" w:hAnsi="Lato"/>
                <w:sz w:val="18"/>
                <w:szCs w:val="18"/>
              </w:rPr>
              <w:tab/>
              <w:t>w zmianie pierwszej dotyczącej § 3 ust. 1 rozporządzenia mowa jest o badaniu medycznym, które nie jest określone w art. 15 ust. 1 ustawy z dnia 22 sierpnia 1997 r. o publicznej służbie krwi. W tym przepisie ustawowym mowa jest o badaniu kwalifikacyjnym, ale wydaje się że autorom projektu chodzi o ogół czynności z art. 15 ust. 1 pkt 3 ww. ustawy. W związku z czym zmienianemu ust. 1 proponujemy nadać następujące brzmienie:</w:t>
            </w:r>
          </w:p>
          <w:p w14:paraId="2CE853AB" w14:textId="77777777" w:rsidR="00DF44FD" w:rsidRPr="00E54B6E" w:rsidRDefault="00DF44FD" w:rsidP="00DF44FD">
            <w:pPr>
              <w:spacing w:after="0"/>
              <w:rPr>
                <w:rFonts w:ascii="Lato" w:eastAsia="Times New Roman" w:hAnsi="Lato"/>
                <w:sz w:val="18"/>
                <w:szCs w:val="18"/>
              </w:rPr>
            </w:pPr>
            <w:r w:rsidRPr="00E54B6E">
              <w:rPr>
                <w:rFonts w:ascii="Lato" w:eastAsia="Times New Roman" w:hAnsi="Lato"/>
                <w:sz w:val="18"/>
                <w:szCs w:val="18"/>
              </w:rPr>
              <w:lastRenderedPageBreak/>
              <w:t>„1. O spełnianiu przez kandydata na dawcę krwi lub dawcę krwi wymagań zdrowotnych, o których mowa w § 2 ust. 1, orzeka lekarz albo pielęgniarka, o której mowa w art. 15 ust. 1 pkt 1 lit. b ustawy, po przeprowadzeniu czynności wymienionych w art. 15 ust. 1 pkt 3 ustawy.”;</w:t>
            </w:r>
          </w:p>
          <w:p w14:paraId="67DE8C0E" w14:textId="77777777" w:rsidR="00DF44FD" w:rsidRPr="00E54B6E" w:rsidRDefault="00DF44FD" w:rsidP="00DF44FD">
            <w:pPr>
              <w:spacing w:after="0"/>
              <w:rPr>
                <w:rFonts w:ascii="Lato" w:eastAsia="Times New Roman" w:hAnsi="Lato"/>
                <w:sz w:val="18"/>
                <w:szCs w:val="18"/>
              </w:rPr>
            </w:pPr>
            <w:r w:rsidRPr="00E54B6E">
              <w:rPr>
                <w:rFonts w:ascii="Lato" w:eastAsia="Times New Roman" w:hAnsi="Lato"/>
                <w:sz w:val="18"/>
                <w:szCs w:val="18"/>
              </w:rPr>
              <w:t>2)</w:t>
            </w:r>
            <w:r w:rsidRPr="00E54B6E">
              <w:rPr>
                <w:rFonts w:ascii="Lato" w:eastAsia="Times New Roman" w:hAnsi="Lato"/>
                <w:sz w:val="18"/>
                <w:szCs w:val="18"/>
              </w:rPr>
              <w:tab/>
              <w:t>dlaczego przepis przejściowy § 2 ust. 1 projektu rozporządzenia (Dyskwalifikacje czasowe i stałe orzeczone na podstawie przepisów dotychczasowych zachowują moc na okres na jaki zostały ustanowione.) różni się od § 11 obowiązującego rozporządzenia (Dyskwalifikacje czasowe i stałe orzeczone na podstawie przepisów dotychczasowych zachowują moc.), mimo że regulacją de facto taką samą materię;</w:t>
            </w:r>
          </w:p>
          <w:p w14:paraId="5FAFD31F" w14:textId="77777777" w:rsidR="00DF44FD" w:rsidRPr="00E54B6E" w:rsidRDefault="00DF44FD" w:rsidP="00DF44FD">
            <w:pPr>
              <w:spacing w:after="0"/>
              <w:rPr>
                <w:rFonts w:ascii="Lato" w:eastAsia="Times New Roman" w:hAnsi="Lato"/>
                <w:sz w:val="18"/>
                <w:szCs w:val="18"/>
              </w:rPr>
            </w:pPr>
            <w:r w:rsidRPr="00E54B6E">
              <w:rPr>
                <w:rFonts w:ascii="Lato" w:eastAsia="Times New Roman" w:hAnsi="Lato"/>
                <w:sz w:val="18"/>
                <w:szCs w:val="18"/>
              </w:rPr>
              <w:t>3)</w:t>
            </w:r>
            <w:r w:rsidRPr="00E54B6E">
              <w:rPr>
                <w:rFonts w:ascii="Lato" w:eastAsia="Times New Roman" w:hAnsi="Lato"/>
                <w:sz w:val="18"/>
                <w:szCs w:val="18"/>
              </w:rPr>
              <w:tab/>
              <w:t>w jaki sposób lekarz albo pielęgniarka ma zrealizować w praktyce przepis § 2 ust. 2 projektu rozporządzenia. Mowa w nim o cofnięciu dyskwalifikacji stałej po przeprowadzeniu kwalifikacji do oddania krwi lub jej składników. Ani ustawa z dnia 22 sierpnia 1997 r. o publicznej służbie krwi ani obowiązujące rozporządzenie nie zawiera regulacji dotyczącej takie procedury. Czy lekarz ma na dotychczasowym orzeczeniu przekreślić wyrazy dotyczące dyskwalifikacji stałej i napisać: „kwalifikuje się do pobrania krwi” czy też wydać nowe orzeczenie. W jaki sposób te działania będą odzwierciedlone w systemie e-krew?;</w:t>
            </w:r>
          </w:p>
          <w:p w14:paraId="77432486" w14:textId="77777777" w:rsidR="00DF44FD" w:rsidRPr="00E54B6E" w:rsidRDefault="00DF44FD" w:rsidP="00DF44FD">
            <w:pPr>
              <w:spacing w:after="0"/>
              <w:rPr>
                <w:rFonts w:ascii="Lato" w:eastAsia="Times New Roman" w:hAnsi="Lato"/>
                <w:sz w:val="18"/>
                <w:szCs w:val="18"/>
              </w:rPr>
            </w:pPr>
            <w:r w:rsidRPr="00E54B6E">
              <w:rPr>
                <w:rFonts w:ascii="Lato" w:eastAsia="Times New Roman" w:hAnsi="Lato"/>
                <w:sz w:val="18"/>
                <w:szCs w:val="18"/>
              </w:rPr>
              <w:t>4)</w:t>
            </w:r>
            <w:r w:rsidRPr="00E54B6E">
              <w:rPr>
                <w:rFonts w:ascii="Lato" w:eastAsia="Times New Roman" w:hAnsi="Lato"/>
                <w:sz w:val="18"/>
                <w:szCs w:val="18"/>
              </w:rPr>
              <w:tab/>
              <w:t>w uzasadnieniu do projektu należy – zgodnie z Konstytucją RP – posługiwać się terminem: „terytorium” a nie terminem: „teren” Rzeczypospolitej Polskiej.</w:t>
            </w:r>
          </w:p>
        </w:tc>
        <w:tc>
          <w:tcPr>
            <w:tcW w:w="3236" w:type="dxa"/>
            <w:tcBorders>
              <w:top w:val="single" w:sz="4" w:space="0" w:color="auto"/>
              <w:left w:val="single" w:sz="4" w:space="0" w:color="auto"/>
              <w:bottom w:val="single" w:sz="4" w:space="0" w:color="auto"/>
              <w:right w:val="single" w:sz="4" w:space="0" w:color="auto"/>
            </w:tcBorders>
          </w:tcPr>
          <w:p w14:paraId="65DD27D5" w14:textId="77777777" w:rsidR="00DF44FD" w:rsidRPr="00E54B6E" w:rsidRDefault="00DF44FD" w:rsidP="00DF44FD">
            <w:pPr>
              <w:spacing w:line="240" w:lineRule="auto"/>
              <w:contextualSpacing/>
              <w:rPr>
                <w:rFonts w:ascii="Lato" w:hAnsi="Lato" w:cs="Arial"/>
                <w:sz w:val="18"/>
                <w:szCs w:val="18"/>
              </w:rPr>
            </w:pPr>
            <w:r w:rsidRPr="00E54B6E">
              <w:rPr>
                <w:rFonts w:ascii="Lato" w:hAnsi="Lato" w:cs="Arial"/>
                <w:sz w:val="18"/>
                <w:szCs w:val="18"/>
              </w:rPr>
              <w:lastRenderedPageBreak/>
              <w:t>Ad 1 uwaga zasadna</w:t>
            </w:r>
          </w:p>
          <w:p w14:paraId="704DF9A8" w14:textId="77777777" w:rsidR="00DF44FD" w:rsidRPr="00E54B6E" w:rsidRDefault="00DF44FD" w:rsidP="00DF44FD">
            <w:pPr>
              <w:spacing w:line="240" w:lineRule="auto"/>
              <w:contextualSpacing/>
              <w:rPr>
                <w:rFonts w:ascii="Lato" w:hAnsi="Lato" w:cs="Arial"/>
                <w:sz w:val="18"/>
                <w:szCs w:val="18"/>
              </w:rPr>
            </w:pPr>
          </w:p>
          <w:p w14:paraId="7A6F95B8" w14:textId="77777777" w:rsidR="00DF44FD" w:rsidRPr="00E54B6E" w:rsidRDefault="00DF44FD" w:rsidP="00DF44FD">
            <w:pPr>
              <w:spacing w:line="240" w:lineRule="auto"/>
              <w:contextualSpacing/>
              <w:rPr>
                <w:rFonts w:ascii="Lato" w:hAnsi="Lato" w:cs="Arial"/>
                <w:sz w:val="18"/>
                <w:szCs w:val="18"/>
              </w:rPr>
            </w:pPr>
          </w:p>
          <w:p w14:paraId="25CF9F11" w14:textId="77777777" w:rsidR="00DF44FD" w:rsidRPr="00E54B6E" w:rsidRDefault="00DF44FD" w:rsidP="00DF44FD">
            <w:pPr>
              <w:spacing w:line="240" w:lineRule="auto"/>
              <w:contextualSpacing/>
              <w:rPr>
                <w:rFonts w:ascii="Lato" w:hAnsi="Lato" w:cs="Arial"/>
                <w:sz w:val="18"/>
                <w:szCs w:val="18"/>
              </w:rPr>
            </w:pPr>
          </w:p>
          <w:p w14:paraId="29162652" w14:textId="77777777" w:rsidR="00DF44FD" w:rsidRPr="00E54B6E" w:rsidRDefault="00DF44FD" w:rsidP="00DF44FD">
            <w:pPr>
              <w:spacing w:line="240" w:lineRule="auto"/>
              <w:contextualSpacing/>
              <w:rPr>
                <w:rFonts w:ascii="Lato" w:hAnsi="Lato" w:cs="Arial"/>
                <w:sz w:val="18"/>
                <w:szCs w:val="18"/>
              </w:rPr>
            </w:pPr>
          </w:p>
          <w:p w14:paraId="51C8D4C8" w14:textId="77777777" w:rsidR="00DF44FD" w:rsidRPr="00E54B6E" w:rsidRDefault="00DF44FD" w:rsidP="00DF44FD">
            <w:pPr>
              <w:spacing w:line="240" w:lineRule="auto"/>
              <w:contextualSpacing/>
              <w:rPr>
                <w:rFonts w:ascii="Lato" w:hAnsi="Lato" w:cs="Arial"/>
                <w:sz w:val="18"/>
                <w:szCs w:val="18"/>
              </w:rPr>
            </w:pPr>
          </w:p>
          <w:p w14:paraId="2097D0F4" w14:textId="77777777" w:rsidR="00DF44FD" w:rsidRPr="00E54B6E" w:rsidRDefault="00DF44FD" w:rsidP="00DF44FD">
            <w:pPr>
              <w:spacing w:line="240" w:lineRule="auto"/>
              <w:contextualSpacing/>
              <w:rPr>
                <w:rFonts w:ascii="Lato" w:hAnsi="Lato" w:cs="Arial"/>
                <w:sz w:val="18"/>
                <w:szCs w:val="18"/>
              </w:rPr>
            </w:pPr>
          </w:p>
          <w:p w14:paraId="7B37E160" w14:textId="77777777" w:rsidR="00DF44FD" w:rsidRPr="00E54B6E" w:rsidRDefault="00DF44FD" w:rsidP="00DF44FD">
            <w:pPr>
              <w:spacing w:line="240" w:lineRule="auto"/>
              <w:contextualSpacing/>
              <w:rPr>
                <w:rFonts w:ascii="Lato" w:hAnsi="Lato" w:cs="Arial"/>
                <w:sz w:val="18"/>
                <w:szCs w:val="18"/>
              </w:rPr>
            </w:pPr>
          </w:p>
          <w:p w14:paraId="29CE1DAE" w14:textId="77777777" w:rsidR="00DF44FD" w:rsidRPr="00E54B6E" w:rsidRDefault="00DF44FD" w:rsidP="00DF44FD">
            <w:pPr>
              <w:spacing w:line="240" w:lineRule="auto"/>
              <w:contextualSpacing/>
              <w:rPr>
                <w:rFonts w:ascii="Lato" w:hAnsi="Lato" w:cs="Arial"/>
                <w:sz w:val="18"/>
                <w:szCs w:val="18"/>
              </w:rPr>
            </w:pPr>
          </w:p>
          <w:p w14:paraId="63557526" w14:textId="77777777" w:rsidR="00DF44FD" w:rsidRPr="00E54B6E" w:rsidRDefault="00DF44FD" w:rsidP="00DF44FD">
            <w:pPr>
              <w:spacing w:line="240" w:lineRule="auto"/>
              <w:contextualSpacing/>
              <w:rPr>
                <w:rFonts w:ascii="Lato" w:hAnsi="Lato" w:cs="Arial"/>
                <w:sz w:val="18"/>
                <w:szCs w:val="18"/>
              </w:rPr>
            </w:pPr>
          </w:p>
          <w:p w14:paraId="607C23F2" w14:textId="77777777" w:rsidR="00DF44FD" w:rsidRPr="00E54B6E" w:rsidRDefault="00DF44FD" w:rsidP="00DF44FD">
            <w:pPr>
              <w:spacing w:line="240" w:lineRule="auto"/>
              <w:contextualSpacing/>
              <w:rPr>
                <w:rFonts w:ascii="Lato" w:hAnsi="Lato" w:cs="Arial"/>
                <w:sz w:val="18"/>
                <w:szCs w:val="18"/>
              </w:rPr>
            </w:pPr>
          </w:p>
          <w:p w14:paraId="157BDF65" w14:textId="77777777" w:rsidR="00DF44FD" w:rsidRPr="00E54B6E" w:rsidRDefault="00DF44FD" w:rsidP="00DF44FD">
            <w:pPr>
              <w:spacing w:line="240" w:lineRule="auto"/>
              <w:contextualSpacing/>
              <w:rPr>
                <w:rFonts w:ascii="Lato" w:hAnsi="Lato" w:cs="Arial"/>
                <w:sz w:val="18"/>
                <w:szCs w:val="18"/>
              </w:rPr>
            </w:pPr>
          </w:p>
          <w:p w14:paraId="4C35EF6C" w14:textId="77777777" w:rsidR="00DF44FD" w:rsidRPr="00E54B6E" w:rsidRDefault="00DF44FD" w:rsidP="00DF44FD">
            <w:pPr>
              <w:spacing w:line="240" w:lineRule="auto"/>
              <w:contextualSpacing/>
              <w:rPr>
                <w:rFonts w:ascii="Lato" w:hAnsi="Lato" w:cs="Arial"/>
                <w:sz w:val="18"/>
                <w:szCs w:val="18"/>
              </w:rPr>
            </w:pPr>
            <w:r w:rsidRPr="00E54B6E">
              <w:rPr>
                <w:rFonts w:ascii="Lato" w:hAnsi="Lato" w:cs="Arial"/>
                <w:sz w:val="18"/>
                <w:szCs w:val="18"/>
              </w:rPr>
              <w:t>Ad 2 Zapisy są tożsame</w:t>
            </w:r>
          </w:p>
          <w:p w14:paraId="4C2ED1E2" w14:textId="77777777" w:rsidR="00DF44FD" w:rsidRPr="00E54B6E" w:rsidRDefault="00DF44FD" w:rsidP="00DF44FD">
            <w:pPr>
              <w:spacing w:line="240" w:lineRule="auto"/>
              <w:contextualSpacing/>
              <w:rPr>
                <w:rFonts w:ascii="Lato" w:hAnsi="Lato" w:cs="Arial"/>
                <w:sz w:val="18"/>
                <w:szCs w:val="18"/>
              </w:rPr>
            </w:pPr>
          </w:p>
          <w:p w14:paraId="3B36A82A" w14:textId="77777777" w:rsidR="00DF44FD" w:rsidRPr="00E54B6E" w:rsidRDefault="00DF44FD" w:rsidP="00DF44FD">
            <w:pPr>
              <w:spacing w:line="240" w:lineRule="auto"/>
              <w:contextualSpacing/>
              <w:rPr>
                <w:rFonts w:ascii="Lato" w:hAnsi="Lato" w:cs="Arial"/>
                <w:sz w:val="18"/>
                <w:szCs w:val="18"/>
              </w:rPr>
            </w:pPr>
          </w:p>
          <w:p w14:paraId="3ADE1DAA" w14:textId="77777777" w:rsidR="00DF44FD" w:rsidRPr="00E54B6E" w:rsidRDefault="00DF44FD" w:rsidP="00DF44FD">
            <w:pPr>
              <w:spacing w:line="240" w:lineRule="auto"/>
              <w:contextualSpacing/>
              <w:rPr>
                <w:rFonts w:ascii="Lato" w:hAnsi="Lato" w:cs="Arial"/>
                <w:sz w:val="18"/>
                <w:szCs w:val="18"/>
              </w:rPr>
            </w:pPr>
          </w:p>
          <w:p w14:paraId="7624C464" w14:textId="77777777" w:rsidR="00DF44FD" w:rsidRPr="00E54B6E" w:rsidRDefault="00DF44FD" w:rsidP="00DF44FD">
            <w:pPr>
              <w:spacing w:line="240" w:lineRule="auto"/>
              <w:contextualSpacing/>
              <w:rPr>
                <w:rFonts w:ascii="Lato" w:hAnsi="Lato" w:cs="Arial"/>
                <w:sz w:val="18"/>
                <w:szCs w:val="18"/>
              </w:rPr>
            </w:pPr>
          </w:p>
          <w:p w14:paraId="7B8F3506" w14:textId="77777777" w:rsidR="00DF44FD" w:rsidRPr="00E54B6E" w:rsidRDefault="00DF44FD" w:rsidP="00DF44FD">
            <w:pPr>
              <w:spacing w:line="240" w:lineRule="auto"/>
              <w:contextualSpacing/>
              <w:rPr>
                <w:rFonts w:ascii="Lato" w:hAnsi="Lato" w:cs="Arial"/>
                <w:sz w:val="18"/>
                <w:szCs w:val="18"/>
              </w:rPr>
            </w:pPr>
          </w:p>
          <w:p w14:paraId="3FF21B65" w14:textId="77777777" w:rsidR="00DF44FD" w:rsidRPr="00E54B6E" w:rsidRDefault="00DF44FD" w:rsidP="00DF44FD">
            <w:pPr>
              <w:spacing w:line="240" w:lineRule="auto"/>
              <w:contextualSpacing/>
              <w:rPr>
                <w:rFonts w:ascii="Lato" w:hAnsi="Lato" w:cs="Arial"/>
                <w:sz w:val="18"/>
                <w:szCs w:val="18"/>
              </w:rPr>
            </w:pPr>
          </w:p>
          <w:p w14:paraId="4611C10A" w14:textId="77777777" w:rsidR="00DF44FD" w:rsidRPr="00E54B6E" w:rsidRDefault="00DF44FD" w:rsidP="00DF44FD">
            <w:pPr>
              <w:spacing w:line="240" w:lineRule="auto"/>
              <w:contextualSpacing/>
              <w:rPr>
                <w:rFonts w:ascii="Lato" w:hAnsi="Lato" w:cs="Arial"/>
                <w:sz w:val="18"/>
                <w:szCs w:val="18"/>
              </w:rPr>
            </w:pPr>
          </w:p>
          <w:p w14:paraId="3227842F" w14:textId="77777777" w:rsidR="00DF44FD" w:rsidRPr="00E54B6E" w:rsidRDefault="00DF44FD" w:rsidP="00DF44FD">
            <w:pPr>
              <w:spacing w:line="240" w:lineRule="auto"/>
              <w:contextualSpacing/>
              <w:rPr>
                <w:rFonts w:ascii="Lato" w:hAnsi="Lato" w:cs="Arial"/>
                <w:sz w:val="18"/>
                <w:szCs w:val="18"/>
              </w:rPr>
            </w:pPr>
            <w:r w:rsidRPr="00E54B6E">
              <w:rPr>
                <w:rFonts w:ascii="Lato" w:hAnsi="Lato" w:cs="Arial"/>
                <w:sz w:val="18"/>
                <w:szCs w:val="18"/>
              </w:rPr>
              <w:t>Ad 3 W praktyce opisywane jest to w kartotece dawcy w systemie informatycznym, natomiast odrębną kwestią jest orzeczenie o tym, że dawca w tym momencie kwalifikuje się do oddania krwi lub jej składników</w:t>
            </w:r>
          </w:p>
          <w:p w14:paraId="3106D9F7" w14:textId="77777777" w:rsidR="00DF44FD" w:rsidRPr="00E54B6E" w:rsidRDefault="00DF44FD" w:rsidP="00DF44FD">
            <w:pPr>
              <w:spacing w:line="240" w:lineRule="auto"/>
              <w:contextualSpacing/>
              <w:rPr>
                <w:rFonts w:ascii="Lato" w:hAnsi="Lato" w:cs="Arial"/>
                <w:sz w:val="18"/>
                <w:szCs w:val="18"/>
              </w:rPr>
            </w:pPr>
          </w:p>
          <w:p w14:paraId="6EE498DE" w14:textId="77777777" w:rsidR="00DF44FD" w:rsidRPr="00E54B6E" w:rsidRDefault="00DF44FD" w:rsidP="00DF44FD">
            <w:pPr>
              <w:spacing w:line="240" w:lineRule="auto"/>
              <w:contextualSpacing/>
              <w:rPr>
                <w:rFonts w:ascii="Lato" w:hAnsi="Lato" w:cs="Arial"/>
                <w:sz w:val="18"/>
                <w:szCs w:val="18"/>
              </w:rPr>
            </w:pPr>
          </w:p>
          <w:p w14:paraId="52C96912" w14:textId="77777777" w:rsidR="00DF44FD" w:rsidRPr="00E54B6E" w:rsidRDefault="00DF44FD" w:rsidP="00DF44FD">
            <w:pPr>
              <w:spacing w:line="240" w:lineRule="auto"/>
              <w:contextualSpacing/>
              <w:rPr>
                <w:rFonts w:ascii="Lato" w:hAnsi="Lato" w:cs="Arial"/>
                <w:sz w:val="18"/>
                <w:szCs w:val="18"/>
              </w:rPr>
            </w:pPr>
          </w:p>
          <w:p w14:paraId="13D0AB16" w14:textId="77777777" w:rsidR="00DF44FD" w:rsidRPr="00E54B6E" w:rsidRDefault="00DF44FD" w:rsidP="00DF44FD">
            <w:pPr>
              <w:spacing w:line="240" w:lineRule="auto"/>
              <w:contextualSpacing/>
              <w:rPr>
                <w:rFonts w:ascii="Lato" w:hAnsi="Lato" w:cs="Arial"/>
                <w:sz w:val="18"/>
                <w:szCs w:val="18"/>
              </w:rPr>
            </w:pPr>
          </w:p>
          <w:p w14:paraId="474032C6" w14:textId="77777777" w:rsidR="00DF44FD" w:rsidRPr="00E54B6E" w:rsidRDefault="00DF44FD" w:rsidP="00DF44FD">
            <w:pPr>
              <w:spacing w:line="240" w:lineRule="auto"/>
              <w:contextualSpacing/>
              <w:rPr>
                <w:rFonts w:ascii="Lato" w:hAnsi="Lato" w:cs="Arial"/>
                <w:sz w:val="18"/>
                <w:szCs w:val="18"/>
              </w:rPr>
            </w:pPr>
            <w:r w:rsidRPr="00E54B6E">
              <w:rPr>
                <w:rFonts w:ascii="Lato" w:hAnsi="Lato" w:cs="Arial"/>
                <w:sz w:val="18"/>
                <w:szCs w:val="18"/>
              </w:rPr>
              <w:t>Ad 4 uwaga zasadna</w:t>
            </w:r>
          </w:p>
          <w:p w14:paraId="04E8B039" w14:textId="77777777" w:rsidR="00DF44FD" w:rsidRPr="00E54B6E" w:rsidRDefault="00DF44FD" w:rsidP="00DF44FD">
            <w:pPr>
              <w:spacing w:line="240" w:lineRule="auto"/>
              <w:contextualSpacing/>
              <w:rPr>
                <w:rFonts w:ascii="Lato" w:hAnsi="Lato" w:cs="Arial"/>
                <w:sz w:val="18"/>
                <w:szCs w:val="18"/>
              </w:rPr>
            </w:pPr>
          </w:p>
          <w:p w14:paraId="6DBD2976" w14:textId="77777777" w:rsidR="00DF44FD" w:rsidRPr="00E54B6E" w:rsidRDefault="00DF44FD" w:rsidP="00DF44FD">
            <w:pPr>
              <w:spacing w:line="240" w:lineRule="auto"/>
              <w:contextualSpacing/>
              <w:rPr>
                <w:rFonts w:ascii="Lato" w:hAnsi="Lato" w:cs="Arial"/>
                <w:sz w:val="18"/>
                <w:szCs w:val="18"/>
              </w:rPr>
            </w:pPr>
          </w:p>
          <w:p w14:paraId="0CEC7AE6" w14:textId="77777777" w:rsidR="00DF44FD" w:rsidRPr="00E54B6E" w:rsidRDefault="00DF44FD" w:rsidP="00DF44FD">
            <w:pPr>
              <w:spacing w:line="240" w:lineRule="auto"/>
              <w:contextualSpacing/>
              <w:rPr>
                <w:rFonts w:ascii="Lato" w:hAnsi="Lato" w:cs="Arial"/>
                <w:sz w:val="18"/>
                <w:szCs w:val="18"/>
              </w:rPr>
            </w:pPr>
          </w:p>
        </w:tc>
      </w:tr>
      <w:tr w:rsidR="00DF44FD" w14:paraId="1E224977" w14:textId="77777777" w:rsidTr="00DF44FD">
        <w:trPr>
          <w:trHeight w:val="276"/>
        </w:trPr>
        <w:tc>
          <w:tcPr>
            <w:tcW w:w="562" w:type="dxa"/>
            <w:tcBorders>
              <w:top w:val="single" w:sz="4" w:space="0" w:color="auto"/>
              <w:left w:val="single" w:sz="4" w:space="0" w:color="auto"/>
              <w:bottom w:val="single" w:sz="4" w:space="0" w:color="auto"/>
              <w:right w:val="single" w:sz="4" w:space="0" w:color="auto"/>
            </w:tcBorders>
            <w:vAlign w:val="center"/>
          </w:tcPr>
          <w:p w14:paraId="3BEBFD9D" w14:textId="77777777" w:rsidR="00DF44FD" w:rsidRDefault="00DF44FD" w:rsidP="00DF44FD">
            <w:pPr>
              <w:pStyle w:val="Akapitzlist"/>
              <w:numPr>
                <w:ilvl w:val="0"/>
                <w:numId w:val="21"/>
              </w:numPr>
              <w:spacing w:after="0" w:line="240" w:lineRule="auto"/>
              <w:jc w:val="center"/>
              <w:rPr>
                <w:rFonts w:ascii="Arial" w:hAnsi="Arial" w:cs="Arial"/>
                <w:b/>
                <w:noProof/>
                <w:sz w:val="18"/>
                <w:szCs w:val="18"/>
              </w:rPr>
            </w:pPr>
          </w:p>
        </w:tc>
        <w:tc>
          <w:tcPr>
            <w:tcW w:w="1986" w:type="dxa"/>
            <w:tcBorders>
              <w:top w:val="single" w:sz="4" w:space="0" w:color="auto"/>
              <w:left w:val="single" w:sz="4" w:space="0" w:color="auto"/>
              <w:bottom w:val="single" w:sz="4" w:space="0" w:color="auto"/>
              <w:right w:val="single" w:sz="4" w:space="0" w:color="auto"/>
            </w:tcBorders>
            <w:vAlign w:val="center"/>
          </w:tcPr>
          <w:p w14:paraId="676D55B6" w14:textId="77777777" w:rsidR="00DF44FD" w:rsidRPr="00E54B6E" w:rsidRDefault="00DF44FD" w:rsidP="00DF44FD">
            <w:pPr>
              <w:spacing w:line="240" w:lineRule="auto"/>
              <w:contextualSpacing/>
              <w:jc w:val="center"/>
              <w:rPr>
                <w:rFonts w:ascii="Lato" w:eastAsia="Times New Roman" w:hAnsi="Lato"/>
                <w:sz w:val="18"/>
                <w:szCs w:val="18"/>
              </w:rPr>
            </w:pPr>
            <w:r w:rsidRPr="00E54B6E">
              <w:rPr>
                <w:rFonts w:ascii="Lato" w:hAnsi="Lato"/>
                <w:sz w:val="18"/>
                <w:szCs w:val="18"/>
              </w:rPr>
              <w:t>Krajowa Rada Diagnostów Laboratoryjnych</w:t>
            </w:r>
          </w:p>
        </w:tc>
        <w:tc>
          <w:tcPr>
            <w:tcW w:w="8646" w:type="dxa"/>
            <w:tcBorders>
              <w:top w:val="single" w:sz="4" w:space="0" w:color="auto"/>
              <w:left w:val="single" w:sz="4" w:space="0" w:color="auto"/>
              <w:bottom w:val="single" w:sz="4" w:space="0" w:color="auto"/>
              <w:right w:val="single" w:sz="4" w:space="0" w:color="auto"/>
            </w:tcBorders>
          </w:tcPr>
          <w:p w14:paraId="687E139C" w14:textId="77777777" w:rsidR="00DF44FD" w:rsidRPr="00E54B6E" w:rsidRDefault="00DF44FD" w:rsidP="00DF44FD">
            <w:pPr>
              <w:spacing w:line="360" w:lineRule="auto"/>
              <w:jc w:val="both"/>
              <w:rPr>
                <w:rFonts w:ascii="Lato" w:hAnsi="Lato"/>
                <w:sz w:val="18"/>
                <w:szCs w:val="18"/>
                <w:lang w:eastAsia="pl-PL"/>
              </w:rPr>
            </w:pPr>
            <w:r w:rsidRPr="00E54B6E">
              <w:rPr>
                <w:rFonts w:ascii="Lato" w:hAnsi="Lato"/>
                <w:sz w:val="18"/>
                <w:szCs w:val="18"/>
              </w:rPr>
              <w:t>Krajowa Rada Diagnostów Laboratoryjnych wnosi o wprowadzenie do § 3 nowelizowanego rozporządzenia zmian umożliwiających przeprowadzanie kwalifikacji dawców krwi przez diagnostę laboratoryjnego:</w:t>
            </w:r>
          </w:p>
          <w:p w14:paraId="47C34879" w14:textId="77777777" w:rsidR="00DF44FD" w:rsidRPr="00E54B6E" w:rsidRDefault="00DF44FD" w:rsidP="00DF44FD">
            <w:pPr>
              <w:pStyle w:val="Akapitzlist"/>
              <w:numPr>
                <w:ilvl w:val="0"/>
                <w:numId w:val="27"/>
              </w:numPr>
              <w:spacing w:after="240" w:line="360" w:lineRule="auto"/>
              <w:jc w:val="both"/>
              <w:rPr>
                <w:rFonts w:ascii="Lato" w:eastAsia="Times New Roman" w:hAnsi="Lato" w:cs="Times New Roman"/>
                <w:sz w:val="18"/>
                <w:szCs w:val="18"/>
                <w:lang w:eastAsia="pl-PL"/>
              </w:rPr>
            </w:pPr>
            <w:r w:rsidRPr="00E54B6E">
              <w:rPr>
                <w:rFonts w:ascii="Lato" w:eastAsia="Times New Roman" w:hAnsi="Lato" w:cs="Times New Roman"/>
                <w:sz w:val="18"/>
                <w:szCs w:val="18"/>
                <w:lang w:eastAsia="pl-PL"/>
              </w:rPr>
              <w:t>posiadającego specjalizację z laboratoryjnej transfuzjologii medycznej lub</w:t>
            </w:r>
          </w:p>
          <w:p w14:paraId="29C02D04" w14:textId="77777777" w:rsidR="00DF44FD" w:rsidRPr="00E54B6E" w:rsidRDefault="00DF44FD" w:rsidP="00DF44FD">
            <w:pPr>
              <w:pStyle w:val="Akapitzlist"/>
              <w:numPr>
                <w:ilvl w:val="0"/>
                <w:numId w:val="27"/>
              </w:numPr>
              <w:spacing w:after="0" w:line="360" w:lineRule="auto"/>
              <w:ind w:left="357" w:hanging="357"/>
              <w:jc w:val="both"/>
              <w:rPr>
                <w:rFonts w:ascii="Lato" w:eastAsia="Times New Roman" w:hAnsi="Lato" w:cs="Times New Roman"/>
                <w:sz w:val="18"/>
                <w:szCs w:val="18"/>
                <w:lang w:eastAsia="pl-PL"/>
              </w:rPr>
            </w:pPr>
            <w:r w:rsidRPr="00E54B6E">
              <w:rPr>
                <w:rFonts w:ascii="Lato" w:eastAsia="Times New Roman" w:hAnsi="Lato" w:cs="Times New Roman"/>
                <w:sz w:val="18"/>
                <w:szCs w:val="18"/>
                <w:lang w:eastAsia="pl-PL"/>
              </w:rPr>
              <w:t>który przeprowadził, pod nadzorem lekarza, co najmniej 100 kwalifikacji dawców do oddania krwi lub jej składników.</w:t>
            </w:r>
          </w:p>
          <w:p w14:paraId="4C8BAAE0" w14:textId="77777777" w:rsidR="00DF44FD" w:rsidRPr="00E54B6E" w:rsidRDefault="00DF44FD" w:rsidP="00DF44FD">
            <w:pPr>
              <w:spacing w:after="240" w:line="360" w:lineRule="auto"/>
              <w:jc w:val="both"/>
              <w:rPr>
                <w:rFonts w:ascii="Lato" w:eastAsia="Times New Roman" w:hAnsi="Lato"/>
                <w:sz w:val="18"/>
                <w:szCs w:val="18"/>
                <w:lang w:eastAsia="pl-PL"/>
              </w:rPr>
            </w:pPr>
            <w:r w:rsidRPr="00E54B6E">
              <w:rPr>
                <w:rFonts w:ascii="Lato" w:hAnsi="Lato"/>
                <w:sz w:val="18"/>
                <w:szCs w:val="18"/>
              </w:rPr>
              <w:t xml:space="preserve">Analogiczne uzupełnienie powinno być wprowadzone do § 5 ust. 1 zmienianego rozporządzenia. </w:t>
            </w:r>
          </w:p>
          <w:p w14:paraId="25272499" w14:textId="77777777" w:rsidR="00DF44FD" w:rsidRPr="00E54B6E" w:rsidRDefault="00DF44FD" w:rsidP="00DF44FD">
            <w:pPr>
              <w:spacing w:after="240" w:line="360" w:lineRule="auto"/>
              <w:jc w:val="both"/>
              <w:rPr>
                <w:rFonts w:ascii="Lato" w:hAnsi="Lato"/>
                <w:sz w:val="18"/>
                <w:szCs w:val="18"/>
              </w:rPr>
            </w:pPr>
            <w:r w:rsidRPr="00E54B6E">
              <w:rPr>
                <w:rFonts w:ascii="Lato" w:hAnsi="Lato"/>
                <w:sz w:val="18"/>
                <w:szCs w:val="18"/>
              </w:rPr>
              <w:t xml:space="preserve">Krajowa Rada Diagnostów Laboratoryjnych zwraca uwagę, że dopuszczenie możliwości kwalifikacji dawców przez diagnostów laboratoryjnych przyczyni się do zwiększenia możliwości kwalifikacji dawców, co ma </w:t>
            </w:r>
            <w:r w:rsidRPr="00E54B6E">
              <w:rPr>
                <w:rFonts w:ascii="Lato" w:hAnsi="Lato"/>
                <w:sz w:val="18"/>
                <w:szCs w:val="18"/>
              </w:rPr>
              <w:lastRenderedPageBreak/>
              <w:t xml:space="preserve">istotne znaczenie w przypadku ograniczonej liczby lekarzy np. w oddziałach terenowych czy podczas mobilnych akcji pobierania krwi. Diagności laboratoryjni stanowią około połowy personelu Centrów Krwiodawstwa i Krwiolecznictwa. Diagności laboratoryjni stanowią również wykwalifikowany personel medyczny – wszyscy posiadają tytuł zawodowy magistra. Część diagnostów laboratoryjnych posiada ponadto specjalizację w dziedzinie laboratoryjnej transfuzjologii medycznej, której program wymaga zdobycia zarówno wiedzy merytorycznej jak i odbycia staży kierunkowych z zasad kwalifikacji kandydatów na dawców oraz dawców krwi i jej składników w Dziale Dawców oraz w Dziale Pobierania jednostki organizacyjnej publicznej służby krwi. </w:t>
            </w:r>
          </w:p>
          <w:p w14:paraId="69B3D786" w14:textId="77777777" w:rsidR="00DF44FD" w:rsidRPr="00E54B6E" w:rsidRDefault="00DF44FD" w:rsidP="00DF44FD">
            <w:pPr>
              <w:spacing w:line="360" w:lineRule="auto"/>
              <w:jc w:val="both"/>
              <w:rPr>
                <w:rFonts w:ascii="Lato" w:hAnsi="Lato"/>
                <w:sz w:val="18"/>
                <w:szCs w:val="18"/>
              </w:rPr>
            </w:pPr>
            <w:r w:rsidRPr="00E54B6E">
              <w:rPr>
                <w:rFonts w:ascii="Lato" w:hAnsi="Lato"/>
                <w:sz w:val="18"/>
                <w:szCs w:val="18"/>
              </w:rPr>
              <w:t>Jako dodatkowy argument za proponowaną zmianą należy wskazać, że zgodnie z rozporządzeniem Ministra Zdrowia z dnia 9 kwietnia 2021 r. w sprawie kwalifikacji osób przeprowadzających badania kwalifikacyjne i szczepienia ochronne przeciwko COVID-19 (Dz. U. z 2022 r. poz. 1410) diagności laboratoryjni uzyskali już uprawnienia do przeprowadzania badania kwalifikacyjnego osób do szczepień ochronnych przeciwko COVID-19. Zgodnie z § 2 ust. 1 pkt 2 tego rozporządzenia, badanie kwalifikacyjne może przeprowadzać osoba, która wykonuje zawód fizjoterapeuty, farmaceuty, diagnosty laboratoryjnego i uzyskała dokument potwierdzający ukończenie szkolenia teoretycznego, dostępnego na platformie e-learningowej Centrum Medycznego Kształcenia Podyplomowego. Ponadto od dnia 1 października 2023 r. obowiązują znowelizowane przepisy ustawy z dnia 5 grudnia 2008 r. o zapobieganiu oraz zwalczaniu zakażeń i chorób zakaźnych u ludzi (art. 19 ust. 5a pkt 2 i ust. 5b pkt 1 ustawy) przyznające diagnostom laboratoryjnym prawo przeprowadzania badania kwalifikacyjnego poprzedzającego szczepienie oraz prawo wykonywania szczepień. Nie ma zatem przeciwwskazań, by diagności laboratoryjni posiadający specjalizację z laboratoryjnej transfuzjologii medycznej, a pozostali – po odpowiednim praktycznym przeszkoleniu – stanowili samodzielny personel kwalifikujący kandydatów na dawców krwi i dawców krwi.</w:t>
            </w:r>
          </w:p>
          <w:p w14:paraId="336016A2" w14:textId="77777777" w:rsidR="00DF44FD" w:rsidRPr="00E54B6E" w:rsidRDefault="00DF44FD" w:rsidP="00DF44FD">
            <w:pPr>
              <w:spacing w:after="0"/>
              <w:rPr>
                <w:rFonts w:ascii="Lato" w:eastAsia="Times New Roman" w:hAnsi="Lato"/>
                <w:sz w:val="18"/>
                <w:szCs w:val="18"/>
              </w:rPr>
            </w:pPr>
          </w:p>
        </w:tc>
        <w:tc>
          <w:tcPr>
            <w:tcW w:w="3236" w:type="dxa"/>
            <w:tcBorders>
              <w:top w:val="single" w:sz="4" w:space="0" w:color="auto"/>
              <w:left w:val="single" w:sz="4" w:space="0" w:color="auto"/>
              <w:bottom w:val="single" w:sz="4" w:space="0" w:color="auto"/>
              <w:right w:val="single" w:sz="4" w:space="0" w:color="auto"/>
            </w:tcBorders>
          </w:tcPr>
          <w:p w14:paraId="08510E5C" w14:textId="77777777" w:rsidR="00DF44FD" w:rsidRPr="00E54B6E" w:rsidRDefault="00DF44FD" w:rsidP="00DF44FD">
            <w:pPr>
              <w:pStyle w:val="pf0"/>
              <w:rPr>
                <w:rFonts w:ascii="Lato" w:hAnsi="Lato" w:cs="Arial"/>
                <w:sz w:val="18"/>
                <w:szCs w:val="18"/>
              </w:rPr>
            </w:pPr>
            <w:r w:rsidRPr="00E54B6E">
              <w:rPr>
                <w:rStyle w:val="cf01"/>
                <w:rFonts w:ascii="Lato" w:hAnsi="Lato"/>
              </w:rPr>
              <w:lastRenderedPageBreak/>
              <w:t>Uwaga niezasadna</w:t>
            </w:r>
          </w:p>
          <w:p w14:paraId="28A09A2B" w14:textId="77777777" w:rsidR="00DF44FD" w:rsidRPr="00E54B6E" w:rsidRDefault="00DF44FD" w:rsidP="00DF44FD">
            <w:pPr>
              <w:pStyle w:val="pf0"/>
              <w:rPr>
                <w:rStyle w:val="cf01"/>
                <w:rFonts w:ascii="Lato" w:hAnsi="Lato"/>
              </w:rPr>
            </w:pPr>
            <w:r w:rsidRPr="00E54B6E">
              <w:rPr>
                <w:rStyle w:val="cf01"/>
                <w:rFonts w:ascii="Lato" w:hAnsi="Lato"/>
              </w:rPr>
              <w:t xml:space="preserve">Zgodnie z art. 15 ustawy o publicznej służby krwi za dopuszczenie do pobierania krwi lub jej składników odpowiada lekarz albo pielęgniarka posiadająca tytuł magistra pielęgniarstwa, która przeprowadziła pod nadzorem lekarza, co najmniej 100 kwalifikacji dawców do oddania krwi lub jej składników. (Przyznanie prawa do kwalifikacji dawców krwi pielęgniarkom nastąpiło na podstawie </w:t>
            </w:r>
            <w:r w:rsidRPr="00E54B6E">
              <w:rPr>
                <w:rStyle w:val="cf01"/>
                <w:rFonts w:ascii="Lato" w:hAnsi="Lato"/>
              </w:rPr>
              <w:lastRenderedPageBreak/>
              <w:t>ustawy z dnia 9 marca 2023 r. o Krajowej Sieci Onkologicznej).</w:t>
            </w:r>
          </w:p>
          <w:p w14:paraId="344726AF" w14:textId="77777777" w:rsidR="00DF44FD" w:rsidRPr="00E54B6E" w:rsidRDefault="00DF44FD" w:rsidP="00DF44FD">
            <w:pPr>
              <w:spacing w:line="240" w:lineRule="auto"/>
              <w:contextualSpacing/>
              <w:rPr>
                <w:rFonts w:ascii="Lato" w:hAnsi="Lato" w:cs="Arial"/>
                <w:sz w:val="18"/>
                <w:szCs w:val="18"/>
              </w:rPr>
            </w:pPr>
          </w:p>
          <w:p w14:paraId="28A3D0DB" w14:textId="77777777" w:rsidR="00DF44FD" w:rsidRPr="00E54B6E" w:rsidRDefault="00DF44FD" w:rsidP="00DF44FD">
            <w:pPr>
              <w:spacing w:line="240" w:lineRule="auto"/>
              <w:contextualSpacing/>
              <w:rPr>
                <w:rFonts w:ascii="Lato" w:hAnsi="Lato" w:cs="Arial"/>
                <w:sz w:val="18"/>
                <w:szCs w:val="18"/>
              </w:rPr>
            </w:pPr>
          </w:p>
          <w:p w14:paraId="2F902DC3" w14:textId="77777777" w:rsidR="00DF44FD" w:rsidRPr="00E54B6E" w:rsidRDefault="00DF44FD" w:rsidP="00DF44FD">
            <w:pPr>
              <w:spacing w:line="240" w:lineRule="auto"/>
              <w:contextualSpacing/>
              <w:rPr>
                <w:rFonts w:ascii="Lato" w:hAnsi="Lato" w:cs="Arial"/>
                <w:sz w:val="18"/>
                <w:szCs w:val="18"/>
              </w:rPr>
            </w:pPr>
          </w:p>
          <w:p w14:paraId="49386143" w14:textId="77777777" w:rsidR="00DF44FD" w:rsidRPr="00E54B6E" w:rsidRDefault="00DF44FD" w:rsidP="00DF44FD">
            <w:pPr>
              <w:spacing w:line="240" w:lineRule="auto"/>
              <w:contextualSpacing/>
              <w:rPr>
                <w:rFonts w:ascii="Lato" w:hAnsi="Lato" w:cs="Arial"/>
                <w:sz w:val="18"/>
                <w:szCs w:val="18"/>
              </w:rPr>
            </w:pPr>
          </w:p>
          <w:p w14:paraId="12F835DD" w14:textId="77777777" w:rsidR="00DF44FD" w:rsidRPr="00E54B6E" w:rsidRDefault="00DF44FD" w:rsidP="00DF44FD">
            <w:pPr>
              <w:spacing w:line="240" w:lineRule="auto"/>
              <w:contextualSpacing/>
              <w:rPr>
                <w:rFonts w:ascii="Lato" w:hAnsi="Lato" w:cs="Arial"/>
                <w:sz w:val="18"/>
                <w:szCs w:val="18"/>
              </w:rPr>
            </w:pPr>
          </w:p>
          <w:p w14:paraId="57370FB0" w14:textId="77777777" w:rsidR="00DF44FD" w:rsidRPr="00E54B6E" w:rsidRDefault="00DF44FD" w:rsidP="00DF44FD">
            <w:pPr>
              <w:spacing w:line="240" w:lineRule="auto"/>
              <w:contextualSpacing/>
              <w:rPr>
                <w:rFonts w:ascii="Lato" w:hAnsi="Lato" w:cs="Arial"/>
                <w:sz w:val="18"/>
                <w:szCs w:val="18"/>
              </w:rPr>
            </w:pPr>
          </w:p>
          <w:p w14:paraId="7661B9D0" w14:textId="77777777" w:rsidR="00DF44FD" w:rsidRPr="00E54B6E" w:rsidRDefault="00DF44FD" w:rsidP="00DF44FD">
            <w:pPr>
              <w:spacing w:line="240" w:lineRule="auto"/>
              <w:contextualSpacing/>
              <w:rPr>
                <w:rFonts w:ascii="Lato" w:hAnsi="Lato" w:cs="Arial"/>
                <w:sz w:val="18"/>
                <w:szCs w:val="18"/>
              </w:rPr>
            </w:pPr>
          </w:p>
        </w:tc>
      </w:tr>
      <w:tr w:rsidR="00DF44FD" w14:paraId="6C72CDD5" w14:textId="77777777" w:rsidTr="00DF44FD">
        <w:trPr>
          <w:trHeight w:val="276"/>
        </w:trPr>
        <w:tc>
          <w:tcPr>
            <w:tcW w:w="562" w:type="dxa"/>
            <w:tcBorders>
              <w:top w:val="single" w:sz="4" w:space="0" w:color="auto"/>
              <w:left w:val="single" w:sz="4" w:space="0" w:color="auto"/>
              <w:bottom w:val="single" w:sz="4" w:space="0" w:color="auto"/>
              <w:right w:val="single" w:sz="4" w:space="0" w:color="auto"/>
            </w:tcBorders>
            <w:vAlign w:val="center"/>
          </w:tcPr>
          <w:p w14:paraId="24691919" w14:textId="77777777" w:rsidR="00DF44FD" w:rsidRDefault="00DF44FD" w:rsidP="00DF44FD">
            <w:pPr>
              <w:pStyle w:val="Akapitzlist"/>
              <w:numPr>
                <w:ilvl w:val="0"/>
                <w:numId w:val="21"/>
              </w:numPr>
              <w:spacing w:after="0" w:line="240" w:lineRule="auto"/>
              <w:jc w:val="center"/>
              <w:rPr>
                <w:rFonts w:ascii="Arial" w:hAnsi="Arial" w:cs="Arial"/>
                <w:b/>
                <w:noProof/>
                <w:sz w:val="18"/>
                <w:szCs w:val="18"/>
              </w:rPr>
            </w:pPr>
          </w:p>
        </w:tc>
        <w:tc>
          <w:tcPr>
            <w:tcW w:w="1986" w:type="dxa"/>
            <w:tcBorders>
              <w:top w:val="single" w:sz="4" w:space="0" w:color="auto"/>
              <w:left w:val="single" w:sz="4" w:space="0" w:color="auto"/>
              <w:bottom w:val="single" w:sz="4" w:space="0" w:color="auto"/>
              <w:right w:val="single" w:sz="4" w:space="0" w:color="auto"/>
            </w:tcBorders>
            <w:vAlign w:val="center"/>
          </w:tcPr>
          <w:p w14:paraId="6EF496C4" w14:textId="77777777" w:rsidR="00DF44FD" w:rsidRPr="00E54B6E" w:rsidRDefault="00DF44FD" w:rsidP="00DF44FD">
            <w:pPr>
              <w:spacing w:line="240" w:lineRule="auto"/>
              <w:contextualSpacing/>
              <w:jc w:val="center"/>
              <w:rPr>
                <w:rFonts w:ascii="Lato" w:hAnsi="Lato"/>
                <w:sz w:val="18"/>
                <w:szCs w:val="18"/>
              </w:rPr>
            </w:pPr>
            <w:r w:rsidRPr="00E54B6E">
              <w:rPr>
                <w:rFonts w:ascii="Lato" w:hAnsi="Lato"/>
                <w:sz w:val="18"/>
                <w:szCs w:val="18"/>
              </w:rPr>
              <w:t>IHIT</w:t>
            </w:r>
          </w:p>
        </w:tc>
        <w:tc>
          <w:tcPr>
            <w:tcW w:w="8646" w:type="dxa"/>
            <w:tcBorders>
              <w:top w:val="single" w:sz="4" w:space="0" w:color="auto"/>
              <w:left w:val="single" w:sz="4" w:space="0" w:color="auto"/>
              <w:bottom w:val="single" w:sz="4" w:space="0" w:color="auto"/>
              <w:right w:val="single" w:sz="4" w:space="0" w:color="auto"/>
            </w:tcBorders>
          </w:tcPr>
          <w:p w14:paraId="3848D05E" w14:textId="77777777" w:rsidR="00DF44FD" w:rsidRPr="00E54B6E" w:rsidRDefault="00DF44FD" w:rsidP="00DF44FD">
            <w:pPr>
              <w:pStyle w:val="Akapitzlist"/>
              <w:numPr>
                <w:ilvl w:val="0"/>
                <w:numId w:val="28"/>
              </w:numPr>
              <w:suppressAutoHyphens/>
              <w:spacing w:after="160" w:line="256" w:lineRule="auto"/>
              <w:rPr>
                <w:rFonts w:ascii="Lato" w:hAnsi="Lato"/>
                <w:sz w:val="18"/>
                <w:szCs w:val="18"/>
              </w:rPr>
            </w:pPr>
            <w:bookmarkStart w:id="0" w:name="_Hlk149546599"/>
            <w:r w:rsidRPr="00E54B6E">
              <w:rPr>
                <w:rFonts w:ascii="Lato" w:hAnsi="Lato"/>
                <w:sz w:val="18"/>
                <w:szCs w:val="18"/>
              </w:rPr>
              <w:t xml:space="preserve">Załącznik nr 2, pkt. 2.2.1, lp. 14 w tabeli </w:t>
            </w:r>
            <w:bookmarkEnd w:id="0"/>
            <w:r w:rsidRPr="00E54B6E">
              <w:rPr>
                <w:rFonts w:ascii="Lato" w:hAnsi="Lato"/>
                <w:sz w:val="18"/>
                <w:szCs w:val="18"/>
              </w:rPr>
              <w:t>(dodana)</w:t>
            </w:r>
          </w:p>
          <w:p w14:paraId="5C6E8708" w14:textId="77777777" w:rsidR="00DF44FD" w:rsidRPr="00E54B6E" w:rsidRDefault="00DF44FD" w:rsidP="00DF44FD">
            <w:pPr>
              <w:rPr>
                <w:rFonts w:ascii="Lato" w:hAnsi="Lato"/>
                <w:sz w:val="18"/>
                <w:szCs w:val="18"/>
              </w:rPr>
            </w:pPr>
            <w:r w:rsidRPr="00E54B6E">
              <w:rPr>
                <w:rFonts w:ascii="Lato" w:hAnsi="Lato"/>
                <w:sz w:val="18"/>
                <w:szCs w:val="18"/>
              </w:rPr>
              <w:t>proponuje się brzmienie:</w:t>
            </w:r>
          </w:p>
          <w:tbl>
            <w:tblPr>
              <w:tblStyle w:val="Tabela-Siatka"/>
              <w:tblW w:w="7175" w:type="dxa"/>
              <w:tblLook w:val="04A0" w:firstRow="1" w:lastRow="0" w:firstColumn="1" w:lastColumn="0" w:noHBand="0" w:noVBand="1"/>
            </w:tblPr>
            <w:tblGrid>
              <w:gridCol w:w="669"/>
              <w:gridCol w:w="2468"/>
              <w:gridCol w:w="4038"/>
            </w:tblGrid>
            <w:tr w:rsidR="00DF44FD" w:rsidRPr="00E54B6E" w14:paraId="3138ABEF" w14:textId="77777777" w:rsidTr="00F829FF">
              <w:trPr>
                <w:trHeight w:val="1237"/>
              </w:trPr>
              <w:tc>
                <w:tcPr>
                  <w:tcW w:w="669" w:type="dxa"/>
                  <w:tcBorders>
                    <w:top w:val="single" w:sz="4" w:space="0" w:color="auto"/>
                    <w:left w:val="single" w:sz="4" w:space="0" w:color="auto"/>
                    <w:bottom w:val="single" w:sz="4" w:space="0" w:color="auto"/>
                    <w:right w:val="single" w:sz="4" w:space="0" w:color="auto"/>
                  </w:tcBorders>
                  <w:hideMark/>
                </w:tcPr>
                <w:p w14:paraId="173F126E" w14:textId="77777777" w:rsidR="00DF44FD" w:rsidRPr="00E54B6E" w:rsidRDefault="00DF44FD" w:rsidP="00E2548E">
                  <w:pPr>
                    <w:framePr w:hSpace="141" w:wrap="around" w:vAnchor="page" w:hAnchor="margin" w:y="3861"/>
                    <w:spacing w:after="0" w:line="240" w:lineRule="auto"/>
                    <w:rPr>
                      <w:rFonts w:ascii="Lato" w:hAnsi="Lato"/>
                      <w:sz w:val="18"/>
                      <w:szCs w:val="18"/>
                    </w:rPr>
                  </w:pPr>
                  <w:r w:rsidRPr="00E54B6E">
                    <w:rPr>
                      <w:rFonts w:ascii="Lato" w:hAnsi="Lato"/>
                      <w:sz w:val="18"/>
                      <w:szCs w:val="18"/>
                    </w:rPr>
                    <w:lastRenderedPageBreak/>
                    <w:t>14</w:t>
                  </w:r>
                </w:p>
              </w:tc>
              <w:tc>
                <w:tcPr>
                  <w:tcW w:w="2468" w:type="dxa"/>
                  <w:tcBorders>
                    <w:top w:val="single" w:sz="4" w:space="0" w:color="auto"/>
                    <w:left w:val="single" w:sz="4" w:space="0" w:color="auto"/>
                    <w:bottom w:val="single" w:sz="4" w:space="0" w:color="auto"/>
                    <w:right w:val="single" w:sz="4" w:space="0" w:color="auto"/>
                  </w:tcBorders>
                  <w:hideMark/>
                </w:tcPr>
                <w:p w14:paraId="69B2B53D" w14:textId="77777777" w:rsidR="00DF44FD" w:rsidRPr="00E54B6E" w:rsidRDefault="00DF44FD" w:rsidP="00E2548E">
                  <w:pPr>
                    <w:framePr w:hSpace="141" w:wrap="around" w:vAnchor="page" w:hAnchor="margin" w:y="3861"/>
                    <w:spacing w:after="0" w:line="240" w:lineRule="auto"/>
                    <w:rPr>
                      <w:rFonts w:ascii="Lato" w:hAnsi="Lato"/>
                      <w:sz w:val="18"/>
                      <w:szCs w:val="18"/>
                    </w:rPr>
                  </w:pPr>
                  <w:r w:rsidRPr="00E54B6E">
                    <w:rPr>
                      <w:rFonts w:ascii="Lato" w:hAnsi="Lato"/>
                      <w:sz w:val="18"/>
                      <w:szCs w:val="18"/>
                    </w:rPr>
                    <w:t>Żółtaczka i zapalenie wątroby</w:t>
                  </w:r>
                </w:p>
              </w:tc>
              <w:tc>
                <w:tcPr>
                  <w:tcW w:w="4038" w:type="dxa"/>
                  <w:tcBorders>
                    <w:top w:val="single" w:sz="4" w:space="0" w:color="auto"/>
                    <w:left w:val="single" w:sz="4" w:space="0" w:color="auto"/>
                    <w:bottom w:val="single" w:sz="4" w:space="0" w:color="auto"/>
                    <w:right w:val="single" w:sz="4" w:space="0" w:color="auto"/>
                  </w:tcBorders>
                  <w:hideMark/>
                </w:tcPr>
                <w:p w14:paraId="07DFD69B" w14:textId="77777777" w:rsidR="00DF44FD" w:rsidRPr="00E54B6E" w:rsidRDefault="00DF44FD" w:rsidP="00E2548E">
                  <w:pPr>
                    <w:framePr w:hSpace="141" w:wrap="around" w:vAnchor="page" w:hAnchor="margin" w:y="3861"/>
                    <w:spacing w:after="0" w:line="240" w:lineRule="auto"/>
                    <w:rPr>
                      <w:rFonts w:ascii="Lato" w:hAnsi="Lato"/>
                      <w:sz w:val="18"/>
                      <w:szCs w:val="18"/>
                    </w:rPr>
                  </w:pPr>
                  <w:r w:rsidRPr="00E54B6E">
                    <w:rPr>
                      <w:rFonts w:ascii="Lato" w:hAnsi="Lato"/>
                      <w:sz w:val="18"/>
                      <w:szCs w:val="18"/>
                    </w:rPr>
                    <w:t>Kandydaci na dawców krwi lub dawcy krwi z przebytą żółtaczką o nieznanej etiologii lub zapaleniem wątroby (po wykluczeniu zapalenia wątroby typu B i typu C) mogą oddać krew pod warunkiem upływu minimum 6 miesięcy od zakończenia leczenia lub wyzdrowienia oraz uzyskania negatywnych wyników badań przeglądowych obowiązkowych w kierunku HCV i HBV.</w:t>
                  </w:r>
                </w:p>
              </w:tc>
            </w:tr>
          </w:tbl>
          <w:p w14:paraId="6628CF6E" w14:textId="77777777" w:rsidR="00DF44FD" w:rsidRPr="00E54B6E" w:rsidRDefault="00DF44FD" w:rsidP="00DF44FD">
            <w:pPr>
              <w:suppressAutoHyphens/>
              <w:spacing w:after="160" w:line="256" w:lineRule="auto"/>
              <w:rPr>
                <w:rFonts w:ascii="Lato" w:hAnsi="Lato"/>
                <w:sz w:val="18"/>
                <w:szCs w:val="18"/>
              </w:rPr>
            </w:pPr>
            <w:r w:rsidRPr="00E54B6E">
              <w:rPr>
                <w:rFonts w:ascii="Lato" w:hAnsi="Lato"/>
                <w:sz w:val="18"/>
                <w:szCs w:val="18"/>
              </w:rPr>
              <w:t xml:space="preserve">2. w pkt 2.2.2. lp. 1:   </w:t>
            </w:r>
          </w:p>
          <w:p w14:paraId="46AAA679" w14:textId="77777777" w:rsidR="00DF44FD" w:rsidRPr="00E54B6E" w:rsidRDefault="00DF44FD" w:rsidP="00DF44FD">
            <w:pPr>
              <w:suppressAutoHyphens/>
              <w:spacing w:after="160" w:line="256" w:lineRule="auto"/>
              <w:rPr>
                <w:rFonts w:ascii="Lato" w:hAnsi="Lato"/>
                <w:sz w:val="18"/>
                <w:szCs w:val="18"/>
              </w:rPr>
            </w:pPr>
            <w:bookmarkStart w:id="1" w:name="_Hlk153915356"/>
            <w:r w:rsidRPr="00E54B6E">
              <w:rPr>
                <w:rFonts w:ascii="Lato" w:hAnsi="Lato"/>
                <w:sz w:val="18"/>
                <w:szCs w:val="18"/>
              </w:rPr>
              <w:t>w kolumnie 2 „Kryterium/przeciwwskazanie” lp. 1 pkt 7 otrzymuje brzmienie:</w:t>
            </w:r>
          </w:p>
          <w:p w14:paraId="1BC13EEF" w14:textId="77777777" w:rsidR="00DF44FD" w:rsidRPr="00E54B6E" w:rsidRDefault="00DF44FD" w:rsidP="00DF44FD">
            <w:pPr>
              <w:ind w:left="360"/>
              <w:rPr>
                <w:rFonts w:ascii="Lato" w:hAnsi="Lato"/>
                <w:sz w:val="18"/>
                <w:szCs w:val="18"/>
              </w:rPr>
            </w:pPr>
            <w:r w:rsidRPr="00E54B6E">
              <w:rPr>
                <w:rFonts w:ascii="Lato" w:hAnsi="Lato"/>
                <w:sz w:val="18"/>
                <w:szCs w:val="18"/>
              </w:rPr>
              <w:t>„7) akupunktura, o ile nie została wykonana przez wykwalifikowaną osobę przy użyciu jałowych jednorazowych igieł;”,</w:t>
            </w:r>
          </w:p>
          <w:bookmarkEnd w:id="1"/>
          <w:p w14:paraId="5F981B88" w14:textId="77777777" w:rsidR="00DF44FD" w:rsidRPr="00E54B6E" w:rsidRDefault="00DF44FD" w:rsidP="00DF44FD">
            <w:pPr>
              <w:pStyle w:val="Akapitzlist"/>
              <w:numPr>
                <w:ilvl w:val="0"/>
                <w:numId w:val="28"/>
              </w:numPr>
              <w:suppressAutoHyphens/>
              <w:spacing w:after="160" w:line="256" w:lineRule="auto"/>
              <w:rPr>
                <w:rFonts w:ascii="Lato" w:hAnsi="Lato"/>
                <w:sz w:val="18"/>
                <w:szCs w:val="18"/>
              </w:rPr>
            </w:pPr>
            <w:r w:rsidRPr="00E54B6E">
              <w:rPr>
                <w:rFonts w:ascii="Lato" w:hAnsi="Lato"/>
                <w:sz w:val="18"/>
                <w:szCs w:val="18"/>
              </w:rPr>
              <w:t xml:space="preserve">3. Załącznik DOPUSZCZALNA ILOŚĆ ODDAWANEJ KRWI I JEJ SKŁADNIKÓW ORAZ CZĘSTOTLIWOŚĆ ICH ODDAWANIA, II. DOPUSZCZALNA ILOŚĆ ODDAWANEJ KRWI I JEJ SKŁADNIKÓW ORAZ SZCZEGÓLNE PRZYPADKI ODSTĘPÓW MIĘDZY DONACJAMI KRWI I JEJ SKŁADNIKÓW </w:t>
            </w:r>
          </w:p>
          <w:p w14:paraId="69651FE6" w14:textId="77777777" w:rsidR="00DF44FD" w:rsidRPr="00E54B6E" w:rsidRDefault="00DF44FD" w:rsidP="00DF44FD">
            <w:pPr>
              <w:pStyle w:val="Akapitzlist"/>
              <w:numPr>
                <w:ilvl w:val="0"/>
                <w:numId w:val="30"/>
              </w:numPr>
              <w:suppressAutoHyphens/>
              <w:spacing w:after="160" w:line="256" w:lineRule="auto"/>
              <w:rPr>
                <w:rFonts w:ascii="Lato" w:hAnsi="Lato"/>
                <w:sz w:val="18"/>
                <w:szCs w:val="18"/>
              </w:rPr>
            </w:pPr>
            <w:r w:rsidRPr="00E54B6E">
              <w:rPr>
                <w:rFonts w:ascii="Lato" w:hAnsi="Lato"/>
                <w:sz w:val="18"/>
                <w:szCs w:val="18"/>
              </w:rPr>
              <w:t xml:space="preserve">A. Krew pełna, pkt 4, proponuje się brzmienie: </w:t>
            </w:r>
          </w:p>
          <w:p w14:paraId="67859F2E" w14:textId="77777777" w:rsidR="00DF44FD" w:rsidRPr="00E54B6E" w:rsidRDefault="00DF44FD" w:rsidP="00DF44FD">
            <w:pPr>
              <w:ind w:left="708"/>
              <w:rPr>
                <w:rFonts w:ascii="Lato" w:hAnsi="Lato"/>
                <w:sz w:val="18"/>
                <w:szCs w:val="18"/>
              </w:rPr>
            </w:pPr>
            <w:r w:rsidRPr="00E54B6E">
              <w:rPr>
                <w:rFonts w:ascii="Lato" w:hAnsi="Lato"/>
                <w:sz w:val="18"/>
                <w:szCs w:val="18"/>
              </w:rPr>
              <w:t>Jeśli dawca krwi zgłasza się do oddania krwi pełnej, a ostatnią donacją było osocze lub płytki krwi lub osocze i płytki krwi, należy zwrócić uwagę, czy od ostatniej donacji krwi pełnej lub 1 jednostki koncentratu krwinek czerwonych, lub granulocytów, lub po nieudanej fazie zwrotu krwi przy aferezie został zachowany odstęp 8 tygodni, a po oddaniu 2 dwóch jednostek koncentratu krwinek czerwonych upłynęło 24 tygodnie w przypadku kobiet i 16 tygodni w przypadku mężczyzn. Jeżeli ten odstęp nie jest zachowany, dawcę należy odroczyć na odpowiedni czas zgodnie z częścią I niniejszego załącznika, w celu zapewnienia prawidłowych odstępów między donacjami zawierającymi krwinki czerwone.</w:t>
            </w:r>
          </w:p>
          <w:p w14:paraId="0C38A5BE" w14:textId="77777777" w:rsidR="00DF44FD" w:rsidRPr="00E54B6E" w:rsidRDefault="00DF44FD" w:rsidP="00DF44FD">
            <w:pPr>
              <w:pStyle w:val="Akapitzlist"/>
              <w:numPr>
                <w:ilvl w:val="0"/>
                <w:numId w:val="30"/>
              </w:numPr>
              <w:suppressAutoHyphens/>
              <w:spacing w:after="160" w:line="256" w:lineRule="auto"/>
              <w:rPr>
                <w:rFonts w:ascii="Lato" w:hAnsi="Lato"/>
                <w:sz w:val="18"/>
                <w:szCs w:val="18"/>
              </w:rPr>
            </w:pPr>
            <w:r w:rsidRPr="00E54B6E">
              <w:rPr>
                <w:rFonts w:ascii="Lato" w:hAnsi="Lato"/>
                <w:sz w:val="18"/>
                <w:szCs w:val="18"/>
              </w:rPr>
              <w:t xml:space="preserve">B. Zabiegi aferezy, pkt. 7, proponuje się brzmienie: </w:t>
            </w:r>
          </w:p>
          <w:p w14:paraId="743B316D" w14:textId="77777777" w:rsidR="00DF44FD" w:rsidRPr="00E54B6E" w:rsidRDefault="00DF44FD" w:rsidP="00DF44FD">
            <w:pPr>
              <w:ind w:left="708"/>
              <w:rPr>
                <w:rFonts w:ascii="Lato" w:hAnsi="Lato"/>
                <w:sz w:val="18"/>
                <w:szCs w:val="18"/>
              </w:rPr>
            </w:pPr>
            <w:r w:rsidRPr="00E54B6E">
              <w:rPr>
                <w:rFonts w:ascii="Lato" w:hAnsi="Lato"/>
                <w:sz w:val="18"/>
                <w:szCs w:val="18"/>
              </w:rPr>
              <w:t xml:space="preserve">W przypadku kwalifikowania do pobrania 1 jednostki </w:t>
            </w:r>
            <w:proofErr w:type="spellStart"/>
            <w:r w:rsidRPr="00E54B6E">
              <w:rPr>
                <w:rFonts w:ascii="Lato" w:hAnsi="Lato"/>
                <w:sz w:val="18"/>
                <w:szCs w:val="18"/>
              </w:rPr>
              <w:t>KKCz</w:t>
            </w:r>
            <w:proofErr w:type="spellEnd"/>
            <w:r w:rsidRPr="00E54B6E">
              <w:rPr>
                <w:rFonts w:ascii="Lato" w:hAnsi="Lato"/>
                <w:sz w:val="18"/>
                <w:szCs w:val="18"/>
              </w:rPr>
              <w:t xml:space="preserve"> metodą aferezy, bez względu na równoczesne pobieranie innych składników krwi i niezależnie od rodzaju poprzedniej donacji, musi być zachowany odstęp 8 tygodni od donacji krwi pełnej lub od donacji 1 jednostki </w:t>
            </w:r>
            <w:proofErr w:type="spellStart"/>
            <w:r w:rsidRPr="00E54B6E">
              <w:rPr>
                <w:rFonts w:ascii="Lato" w:hAnsi="Lato"/>
                <w:sz w:val="18"/>
                <w:szCs w:val="18"/>
              </w:rPr>
              <w:t>KKCz</w:t>
            </w:r>
            <w:proofErr w:type="spellEnd"/>
            <w:r w:rsidRPr="00E54B6E">
              <w:rPr>
                <w:rFonts w:ascii="Lato" w:hAnsi="Lato"/>
                <w:sz w:val="18"/>
                <w:szCs w:val="18"/>
              </w:rPr>
              <w:t xml:space="preserve"> lub </w:t>
            </w:r>
            <w:r w:rsidRPr="00E54B6E">
              <w:rPr>
                <w:rFonts w:ascii="Lato" w:hAnsi="Lato"/>
                <w:sz w:val="18"/>
                <w:szCs w:val="18"/>
              </w:rPr>
              <w:lastRenderedPageBreak/>
              <w:t xml:space="preserve">granulocytów lub po nieudanej fazie zwrotu krwi przy aferezie, a po podwójnej </w:t>
            </w:r>
            <w:proofErr w:type="spellStart"/>
            <w:r w:rsidRPr="00E54B6E">
              <w:rPr>
                <w:rFonts w:ascii="Lato" w:hAnsi="Lato"/>
                <w:sz w:val="18"/>
                <w:szCs w:val="18"/>
              </w:rPr>
              <w:t>erytroaferezie</w:t>
            </w:r>
            <w:proofErr w:type="spellEnd"/>
            <w:r w:rsidRPr="00E54B6E">
              <w:rPr>
                <w:rFonts w:ascii="Lato" w:hAnsi="Lato"/>
                <w:sz w:val="18"/>
                <w:szCs w:val="18"/>
              </w:rPr>
              <w:t xml:space="preserve"> 24 tygodnie dla kobiet i 16 tygodni dla mężczyzn.</w:t>
            </w:r>
          </w:p>
          <w:p w14:paraId="1DE426C6" w14:textId="77777777" w:rsidR="00DF44FD" w:rsidRPr="00E54B6E" w:rsidRDefault="00DF44FD" w:rsidP="00DF44FD">
            <w:pPr>
              <w:rPr>
                <w:rFonts w:ascii="Lato" w:hAnsi="Lato"/>
                <w:sz w:val="18"/>
                <w:szCs w:val="18"/>
              </w:rPr>
            </w:pPr>
          </w:p>
          <w:p w14:paraId="54B03D4A" w14:textId="77777777" w:rsidR="00DF44FD" w:rsidRPr="00E54B6E" w:rsidRDefault="00DF44FD" w:rsidP="00DF44FD">
            <w:pPr>
              <w:spacing w:line="360" w:lineRule="auto"/>
              <w:jc w:val="both"/>
              <w:rPr>
                <w:rFonts w:ascii="Lato" w:hAnsi="Lato"/>
                <w:sz w:val="18"/>
                <w:szCs w:val="18"/>
              </w:rPr>
            </w:pPr>
          </w:p>
        </w:tc>
        <w:tc>
          <w:tcPr>
            <w:tcW w:w="3236" w:type="dxa"/>
            <w:tcBorders>
              <w:top w:val="single" w:sz="4" w:space="0" w:color="auto"/>
              <w:left w:val="single" w:sz="4" w:space="0" w:color="auto"/>
              <w:bottom w:val="single" w:sz="4" w:space="0" w:color="auto"/>
              <w:right w:val="single" w:sz="4" w:space="0" w:color="auto"/>
            </w:tcBorders>
          </w:tcPr>
          <w:p w14:paraId="082C250A" w14:textId="77777777" w:rsidR="00DF44FD" w:rsidRPr="00E54B6E" w:rsidRDefault="00DF44FD" w:rsidP="00DF44FD">
            <w:pPr>
              <w:spacing w:line="240" w:lineRule="auto"/>
              <w:contextualSpacing/>
              <w:rPr>
                <w:rFonts w:ascii="Lato" w:hAnsi="Lato" w:cs="Arial"/>
                <w:sz w:val="18"/>
                <w:szCs w:val="18"/>
              </w:rPr>
            </w:pPr>
            <w:r w:rsidRPr="00E54B6E">
              <w:rPr>
                <w:rFonts w:ascii="Lato" w:hAnsi="Lato" w:cs="Arial"/>
                <w:sz w:val="18"/>
                <w:szCs w:val="18"/>
              </w:rPr>
              <w:lastRenderedPageBreak/>
              <w:t>Uwagi zasadne</w:t>
            </w:r>
          </w:p>
          <w:p w14:paraId="2095AC5A" w14:textId="77777777" w:rsidR="00DF44FD" w:rsidRPr="00E54B6E" w:rsidRDefault="00DF44FD" w:rsidP="00DF44FD">
            <w:pPr>
              <w:spacing w:line="240" w:lineRule="auto"/>
              <w:contextualSpacing/>
              <w:rPr>
                <w:rFonts w:ascii="Lato" w:hAnsi="Lato" w:cs="Arial"/>
                <w:sz w:val="18"/>
                <w:szCs w:val="18"/>
              </w:rPr>
            </w:pPr>
          </w:p>
          <w:p w14:paraId="2901C99F" w14:textId="77777777" w:rsidR="00DF44FD" w:rsidRPr="00E54B6E" w:rsidRDefault="00DF44FD" w:rsidP="00DF44FD">
            <w:pPr>
              <w:spacing w:line="240" w:lineRule="auto"/>
              <w:contextualSpacing/>
              <w:rPr>
                <w:rFonts w:ascii="Lato" w:hAnsi="Lato" w:cs="Arial"/>
                <w:sz w:val="18"/>
                <w:szCs w:val="18"/>
              </w:rPr>
            </w:pPr>
          </w:p>
          <w:p w14:paraId="44A092D5" w14:textId="77777777" w:rsidR="00DF44FD" w:rsidRPr="00E54B6E" w:rsidRDefault="00DF44FD" w:rsidP="00DF44FD">
            <w:pPr>
              <w:spacing w:line="240" w:lineRule="auto"/>
              <w:contextualSpacing/>
              <w:rPr>
                <w:rFonts w:ascii="Lato" w:hAnsi="Lato" w:cs="Arial"/>
                <w:sz w:val="18"/>
                <w:szCs w:val="18"/>
              </w:rPr>
            </w:pPr>
          </w:p>
          <w:p w14:paraId="5F2DC673" w14:textId="77777777" w:rsidR="00DF44FD" w:rsidRPr="00E54B6E" w:rsidRDefault="00DF44FD" w:rsidP="00DF44FD">
            <w:pPr>
              <w:spacing w:line="240" w:lineRule="auto"/>
              <w:contextualSpacing/>
              <w:rPr>
                <w:rFonts w:ascii="Lato" w:hAnsi="Lato" w:cs="Arial"/>
                <w:sz w:val="18"/>
                <w:szCs w:val="18"/>
              </w:rPr>
            </w:pPr>
          </w:p>
          <w:p w14:paraId="7A231825" w14:textId="77777777" w:rsidR="00DF44FD" w:rsidRPr="00E54B6E" w:rsidRDefault="00DF44FD" w:rsidP="00DF44FD">
            <w:pPr>
              <w:spacing w:line="240" w:lineRule="auto"/>
              <w:contextualSpacing/>
              <w:rPr>
                <w:rFonts w:ascii="Lato" w:hAnsi="Lato" w:cs="Arial"/>
                <w:sz w:val="18"/>
                <w:szCs w:val="18"/>
              </w:rPr>
            </w:pPr>
          </w:p>
          <w:p w14:paraId="2F6232A3" w14:textId="77777777" w:rsidR="00DF44FD" w:rsidRPr="00E54B6E" w:rsidRDefault="00DF44FD" w:rsidP="00DF44FD">
            <w:pPr>
              <w:spacing w:line="240" w:lineRule="auto"/>
              <w:contextualSpacing/>
              <w:rPr>
                <w:rFonts w:ascii="Lato" w:hAnsi="Lato" w:cs="Arial"/>
                <w:sz w:val="18"/>
                <w:szCs w:val="18"/>
              </w:rPr>
            </w:pPr>
          </w:p>
          <w:p w14:paraId="653D5FF8" w14:textId="77777777" w:rsidR="00DF44FD" w:rsidRPr="00E54B6E" w:rsidRDefault="00DF44FD" w:rsidP="00DF44FD">
            <w:pPr>
              <w:spacing w:line="240" w:lineRule="auto"/>
              <w:contextualSpacing/>
              <w:rPr>
                <w:rFonts w:ascii="Lato" w:hAnsi="Lato" w:cs="Arial"/>
                <w:sz w:val="18"/>
                <w:szCs w:val="18"/>
              </w:rPr>
            </w:pPr>
          </w:p>
          <w:p w14:paraId="7E97953E" w14:textId="77777777" w:rsidR="00DF44FD" w:rsidRPr="00E54B6E" w:rsidRDefault="00DF44FD" w:rsidP="00DF44FD">
            <w:pPr>
              <w:spacing w:line="240" w:lineRule="auto"/>
              <w:contextualSpacing/>
              <w:rPr>
                <w:rFonts w:ascii="Lato" w:hAnsi="Lato" w:cs="Arial"/>
                <w:sz w:val="18"/>
                <w:szCs w:val="18"/>
              </w:rPr>
            </w:pPr>
          </w:p>
          <w:p w14:paraId="184557CC" w14:textId="77777777" w:rsidR="00DF44FD" w:rsidRPr="00E54B6E" w:rsidRDefault="00DF44FD" w:rsidP="00DF44FD">
            <w:pPr>
              <w:spacing w:line="240" w:lineRule="auto"/>
              <w:contextualSpacing/>
              <w:rPr>
                <w:rFonts w:ascii="Lato" w:hAnsi="Lato" w:cs="Arial"/>
                <w:sz w:val="18"/>
                <w:szCs w:val="18"/>
              </w:rPr>
            </w:pPr>
          </w:p>
          <w:p w14:paraId="3745F2B8" w14:textId="77777777" w:rsidR="00DF44FD" w:rsidRPr="00E54B6E" w:rsidRDefault="00DF44FD" w:rsidP="00DF44FD">
            <w:pPr>
              <w:spacing w:line="240" w:lineRule="auto"/>
              <w:contextualSpacing/>
              <w:rPr>
                <w:rFonts w:ascii="Lato" w:hAnsi="Lato" w:cs="Arial"/>
                <w:sz w:val="18"/>
                <w:szCs w:val="18"/>
              </w:rPr>
            </w:pPr>
          </w:p>
          <w:p w14:paraId="117D4CDF" w14:textId="77777777" w:rsidR="00DF44FD" w:rsidRPr="00E54B6E" w:rsidRDefault="00DF44FD" w:rsidP="00DF44FD">
            <w:pPr>
              <w:spacing w:line="240" w:lineRule="auto"/>
              <w:contextualSpacing/>
              <w:rPr>
                <w:rFonts w:ascii="Lato" w:hAnsi="Lato" w:cs="Arial"/>
                <w:sz w:val="18"/>
                <w:szCs w:val="18"/>
              </w:rPr>
            </w:pPr>
          </w:p>
          <w:p w14:paraId="0EFABA31" w14:textId="77777777" w:rsidR="00DF44FD" w:rsidRPr="00E54B6E" w:rsidRDefault="00DF44FD" w:rsidP="00DF44FD">
            <w:pPr>
              <w:spacing w:line="240" w:lineRule="auto"/>
              <w:contextualSpacing/>
              <w:rPr>
                <w:rFonts w:ascii="Lato" w:hAnsi="Lato" w:cs="Arial"/>
                <w:sz w:val="18"/>
                <w:szCs w:val="18"/>
              </w:rPr>
            </w:pPr>
          </w:p>
          <w:p w14:paraId="43C59F99" w14:textId="77777777" w:rsidR="00DF44FD" w:rsidRPr="00E54B6E" w:rsidRDefault="00DF44FD" w:rsidP="00DF44FD">
            <w:pPr>
              <w:spacing w:line="240" w:lineRule="auto"/>
              <w:contextualSpacing/>
              <w:rPr>
                <w:rFonts w:ascii="Lato" w:hAnsi="Lato" w:cs="Arial"/>
                <w:sz w:val="18"/>
                <w:szCs w:val="18"/>
              </w:rPr>
            </w:pPr>
          </w:p>
          <w:p w14:paraId="0F889A76" w14:textId="77777777" w:rsidR="00DF44FD" w:rsidRPr="00E54B6E" w:rsidRDefault="00DF44FD" w:rsidP="00DF44FD">
            <w:pPr>
              <w:spacing w:line="240" w:lineRule="auto"/>
              <w:contextualSpacing/>
              <w:rPr>
                <w:rFonts w:ascii="Lato" w:hAnsi="Lato" w:cs="Arial"/>
                <w:sz w:val="18"/>
                <w:szCs w:val="18"/>
              </w:rPr>
            </w:pPr>
          </w:p>
          <w:p w14:paraId="069A473C" w14:textId="77777777" w:rsidR="00DF44FD" w:rsidRPr="00E54B6E" w:rsidRDefault="00DF44FD" w:rsidP="00DF44FD">
            <w:pPr>
              <w:spacing w:line="240" w:lineRule="auto"/>
              <w:contextualSpacing/>
              <w:rPr>
                <w:rFonts w:ascii="Lato" w:hAnsi="Lato" w:cs="Arial"/>
                <w:sz w:val="18"/>
                <w:szCs w:val="18"/>
              </w:rPr>
            </w:pPr>
          </w:p>
          <w:p w14:paraId="67AB7C45" w14:textId="77777777" w:rsidR="00DF44FD" w:rsidRPr="00E54B6E" w:rsidRDefault="00DF44FD" w:rsidP="00DF44FD">
            <w:pPr>
              <w:spacing w:line="240" w:lineRule="auto"/>
              <w:contextualSpacing/>
              <w:rPr>
                <w:rFonts w:ascii="Lato" w:hAnsi="Lato" w:cs="Arial"/>
                <w:sz w:val="18"/>
                <w:szCs w:val="18"/>
              </w:rPr>
            </w:pPr>
          </w:p>
          <w:p w14:paraId="38CB5B1A" w14:textId="77777777" w:rsidR="00DF44FD" w:rsidRPr="00E54B6E" w:rsidRDefault="00DF44FD" w:rsidP="00DF44FD">
            <w:pPr>
              <w:spacing w:line="240" w:lineRule="auto"/>
              <w:contextualSpacing/>
              <w:rPr>
                <w:rFonts w:ascii="Lato" w:hAnsi="Lato" w:cs="Arial"/>
                <w:sz w:val="18"/>
                <w:szCs w:val="18"/>
              </w:rPr>
            </w:pPr>
          </w:p>
        </w:tc>
      </w:tr>
      <w:tr w:rsidR="00DF44FD" w14:paraId="77E1E6FA" w14:textId="77777777" w:rsidTr="00DF44FD">
        <w:trPr>
          <w:trHeight w:val="276"/>
        </w:trPr>
        <w:tc>
          <w:tcPr>
            <w:tcW w:w="562" w:type="dxa"/>
            <w:tcBorders>
              <w:top w:val="single" w:sz="4" w:space="0" w:color="auto"/>
              <w:left w:val="single" w:sz="4" w:space="0" w:color="auto"/>
              <w:bottom w:val="single" w:sz="4" w:space="0" w:color="auto"/>
              <w:right w:val="single" w:sz="4" w:space="0" w:color="auto"/>
            </w:tcBorders>
            <w:vAlign w:val="center"/>
          </w:tcPr>
          <w:p w14:paraId="0B4F58F9" w14:textId="77777777" w:rsidR="00DF44FD" w:rsidRDefault="00DF44FD" w:rsidP="00DF44FD">
            <w:pPr>
              <w:pStyle w:val="Akapitzlist"/>
              <w:numPr>
                <w:ilvl w:val="0"/>
                <w:numId w:val="21"/>
              </w:numPr>
              <w:spacing w:after="0" w:line="240" w:lineRule="auto"/>
              <w:jc w:val="center"/>
              <w:rPr>
                <w:rFonts w:ascii="Arial" w:hAnsi="Arial" w:cs="Arial"/>
                <w:b/>
                <w:noProof/>
                <w:sz w:val="18"/>
                <w:szCs w:val="18"/>
              </w:rPr>
            </w:pPr>
          </w:p>
        </w:tc>
        <w:tc>
          <w:tcPr>
            <w:tcW w:w="1986" w:type="dxa"/>
            <w:tcBorders>
              <w:top w:val="single" w:sz="4" w:space="0" w:color="auto"/>
              <w:left w:val="single" w:sz="4" w:space="0" w:color="auto"/>
              <w:bottom w:val="single" w:sz="4" w:space="0" w:color="auto"/>
              <w:right w:val="single" w:sz="4" w:space="0" w:color="auto"/>
            </w:tcBorders>
            <w:vAlign w:val="center"/>
          </w:tcPr>
          <w:p w14:paraId="7E14EDD8" w14:textId="77777777" w:rsidR="00DF44FD" w:rsidRPr="00E54B6E" w:rsidRDefault="00DF44FD" w:rsidP="00DF44FD">
            <w:pPr>
              <w:spacing w:line="240" w:lineRule="auto"/>
              <w:contextualSpacing/>
              <w:jc w:val="center"/>
              <w:rPr>
                <w:rFonts w:ascii="Lato" w:hAnsi="Lato"/>
                <w:sz w:val="18"/>
                <w:szCs w:val="18"/>
              </w:rPr>
            </w:pPr>
            <w:r w:rsidRPr="00E54B6E">
              <w:rPr>
                <w:rFonts w:ascii="Lato" w:hAnsi="Lato"/>
                <w:sz w:val="18"/>
                <w:szCs w:val="18"/>
              </w:rPr>
              <w:t xml:space="preserve">Jakub </w:t>
            </w:r>
            <w:proofErr w:type="spellStart"/>
            <w:r w:rsidRPr="00E54B6E">
              <w:rPr>
                <w:rFonts w:ascii="Lato" w:hAnsi="Lato"/>
                <w:sz w:val="18"/>
                <w:szCs w:val="18"/>
              </w:rPr>
              <w:t>Tereszczyński</w:t>
            </w:r>
            <w:proofErr w:type="spellEnd"/>
          </w:p>
        </w:tc>
        <w:tc>
          <w:tcPr>
            <w:tcW w:w="8646" w:type="dxa"/>
            <w:tcBorders>
              <w:top w:val="single" w:sz="4" w:space="0" w:color="auto"/>
              <w:left w:val="single" w:sz="4" w:space="0" w:color="auto"/>
              <w:bottom w:val="single" w:sz="4" w:space="0" w:color="auto"/>
              <w:right w:val="single" w:sz="4" w:space="0" w:color="auto"/>
            </w:tcBorders>
          </w:tcPr>
          <w:p w14:paraId="03F569D0" w14:textId="77777777" w:rsidR="00DF44FD" w:rsidRPr="00E54B6E" w:rsidRDefault="00DF44FD" w:rsidP="00DF44FD">
            <w:pPr>
              <w:ind w:firstLine="708"/>
              <w:jc w:val="both"/>
              <w:rPr>
                <w:rFonts w:ascii="Lato" w:hAnsi="Lato"/>
                <w:sz w:val="18"/>
                <w:szCs w:val="18"/>
              </w:rPr>
            </w:pPr>
            <w:r w:rsidRPr="00E54B6E">
              <w:rPr>
                <w:rFonts w:ascii="Lato" w:hAnsi="Lato"/>
                <w:sz w:val="18"/>
                <w:szCs w:val="18"/>
              </w:rPr>
              <w:t xml:space="preserve">Projekt rozporządzenia, doprecyzowując kryteria kwalifikacji kandydatów na dawców krwi i dawców krwi, łagodzi wymogi, których spełnienie warunkuje dopuszczenie do oddania krwi lub jej składników.  Kwestia ta wiąże się z koniecznością przedstawienia w uzasadnieniu oraz ocenie skutków regulacji syntetycznej oceny wpływu liberalizacji przeciwwskazań do pobrania krwi na zdrowie dawców i biorców krwi (ocena i analiza zdrowotna).  Generalne poszerzenie grupy dawców krwi o osoby dotychczas podlegające dyskwalifikacji zwiększa ryzyko zarówno dla samych dawców, bo ludzie leczący się przez sam fakt choroby mogą inaczej reagować na zabieg pobrania krwi (będzie więcej reakcji niepożądanych), oraz biorców krwi, bo prawdopodobieństwo powikłań poprzetoczeniowych jest większe.  W ocenie skutków regulacji wskazano, że projekt oddziałuje na około 600 tysięcy kandydatów na dawców krwi i dawców krwi, co wydaje się liczbą zaniżoną, bo odnoszącą się do aktualnej liczby dawców, a nie liczby osób, które po zmianie rozporządzenia będą spełniać warunki dopuszczenia do oddania krwi lub jej składników – niezbędne jest zatem szacunkowe ustalenie, o ile grupa dawców krwi może się zwiększyć. Wiąże się to  także z większym niż obecnie ryzykiem prawnym (konieczne jest przeprowadzenie analizy prawnej proponowanych rozwiązań), bo prawdopodobna większa niż aktualnie liczba reakcji niepożądanych nie pozostanie bez wpływu na liczbę podnoszonych przez dawców i biorców krwi roszczeń. Centra znajdą się zatem w nowej rzeczywistości prawnej, a nieprzeprowadzenie analizy zdrowotnej i prawnej utrudnia podejmowanie względnie spójnych działań związanych z aktualizacją odpowiedzialności centrów jako podmiotowych leczniczych i zatrudnianego personelu. Szkody zdrowotne ponoszone przez dawców krwi wpłyną również na wizerunek centrów, którego odbudowanie będzie czasochłonne i trudne. Liberalizacja przepisów motywowana koniecznością pozyskiwania nowych dawców krwi musi uwzględniać powyższe ryzyka, a zaniechanie ich oceny może powodować skutki odmienne od zamierzonych. Wszystkie wskazane ryzyka – zdrowotne, prawne i wizerunkowe – mają konkretny wymiar finansowy, dlatego wskazanie w ocenie skutków regulacji, że wprowadzenie zmian prawnych nie spowodowuje dodatkowych kosztów (pkt 6, ostatnia rubryka) nie wydaje się uzasadnione.  Wydaje się również, że wprowadzane zmiany nie pozostaną bez wpływu na wysokość składki ubezpieczeniowej związanej z  odpowiedzialnością cywilną uiszczanej przez centra jako podmioty lecznicze zgodnie z art. 25 ustawy z dnia 15 kwietnia 2011 r. o działalności leczniczej (Dz. U. z 2023 r. poz. 991, 1675 i 1972) i rozporządzeniem Ministra Finansów z dnia 29 kwietnia 2019 r. w sprawie </w:t>
            </w:r>
            <w:r w:rsidRPr="00E54B6E">
              <w:rPr>
                <w:rFonts w:ascii="Lato" w:hAnsi="Lato"/>
                <w:sz w:val="18"/>
                <w:szCs w:val="18"/>
              </w:rPr>
              <w:lastRenderedPageBreak/>
              <w:t>obowiązkowego ubezpieczenia odpowiedzialności cywilnej podmiotu wykonującego działalność leczniczą (Dz. U. poz. 866 ze zm.)</w:t>
            </w:r>
          </w:p>
          <w:tbl>
            <w:tblPr>
              <w:tblStyle w:val="Tabela-Siatka"/>
              <w:tblW w:w="5000" w:type="pct"/>
              <w:tblLook w:val="04A0" w:firstRow="1" w:lastRow="0" w:firstColumn="1" w:lastColumn="0" w:noHBand="0" w:noVBand="1"/>
            </w:tblPr>
            <w:tblGrid>
              <w:gridCol w:w="917"/>
              <w:gridCol w:w="2501"/>
              <w:gridCol w:w="2501"/>
              <w:gridCol w:w="2501"/>
            </w:tblGrid>
            <w:tr w:rsidR="00DF44FD" w:rsidRPr="00E54B6E" w14:paraId="664E3811" w14:textId="77777777" w:rsidTr="00F829FF">
              <w:tc>
                <w:tcPr>
                  <w:tcW w:w="1250" w:type="pct"/>
                  <w:tcBorders>
                    <w:top w:val="single" w:sz="4" w:space="0" w:color="auto"/>
                    <w:left w:val="single" w:sz="4" w:space="0" w:color="auto"/>
                    <w:bottom w:val="single" w:sz="4" w:space="0" w:color="auto"/>
                    <w:right w:val="single" w:sz="4" w:space="0" w:color="auto"/>
                  </w:tcBorders>
                  <w:hideMark/>
                </w:tcPr>
                <w:p w14:paraId="78E90B3A" w14:textId="77777777" w:rsidR="00DF44FD" w:rsidRPr="00E54B6E" w:rsidRDefault="00DF44FD" w:rsidP="00E2548E">
                  <w:pPr>
                    <w:framePr w:hSpace="141" w:wrap="around" w:vAnchor="page" w:hAnchor="margin" w:y="3861"/>
                    <w:jc w:val="both"/>
                    <w:rPr>
                      <w:rFonts w:ascii="Lato" w:hAnsi="Lato"/>
                      <w:sz w:val="18"/>
                      <w:szCs w:val="18"/>
                    </w:rPr>
                  </w:pPr>
                  <w:r w:rsidRPr="00E54B6E">
                    <w:rPr>
                      <w:rFonts w:ascii="Lato" w:hAnsi="Lato"/>
                      <w:sz w:val="18"/>
                      <w:szCs w:val="18"/>
                    </w:rPr>
                    <w:t>Lp.</w:t>
                  </w:r>
                </w:p>
              </w:tc>
              <w:tc>
                <w:tcPr>
                  <w:tcW w:w="1250" w:type="pct"/>
                  <w:tcBorders>
                    <w:top w:val="single" w:sz="4" w:space="0" w:color="auto"/>
                    <w:left w:val="single" w:sz="4" w:space="0" w:color="auto"/>
                    <w:bottom w:val="single" w:sz="4" w:space="0" w:color="auto"/>
                    <w:right w:val="single" w:sz="4" w:space="0" w:color="auto"/>
                  </w:tcBorders>
                  <w:hideMark/>
                </w:tcPr>
                <w:p w14:paraId="1F60B8E4" w14:textId="77777777" w:rsidR="00DF44FD" w:rsidRPr="00E54B6E" w:rsidRDefault="00DF44FD" w:rsidP="00E2548E">
                  <w:pPr>
                    <w:framePr w:hSpace="141" w:wrap="around" w:vAnchor="page" w:hAnchor="margin" w:y="3861"/>
                    <w:jc w:val="both"/>
                    <w:rPr>
                      <w:rFonts w:ascii="Lato" w:hAnsi="Lato"/>
                      <w:sz w:val="18"/>
                      <w:szCs w:val="18"/>
                    </w:rPr>
                  </w:pPr>
                  <w:r w:rsidRPr="00E54B6E">
                    <w:rPr>
                      <w:rFonts w:ascii="Lato" w:hAnsi="Lato"/>
                      <w:sz w:val="18"/>
                      <w:szCs w:val="18"/>
                    </w:rPr>
                    <w:t>Jednostka redakcyjna projektu rozporządzenia</w:t>
                  </w:r>
                </w:p>
              </w:tc>
              <w:tc>
                <w:tcPr>
                  <w:tcW w:w="1250" w:type="pct"/>
                  <w:tcBorders>
                    <w:top w:val="single" w:sz="4" w:space="0" w:color="auto"/>
                    <w:left w:val="single" w:sz="4" w:space="0" w:color="auto"/>
                    <w:bottom w:val="single" w:sz="4" w:space="0" w:color="auto"/>
                    <w:right w:val="single" w:sz="4" w:space="0" w:color="auto"/>
                  </w:tcBorders>
                  <w:hideMark/>
                </w:tcPr>
                <w:p w14:paraId="5CA1D061" w14:textId="77777777" w:rsidR="00DF44FD" w:rsidRPr="00E54B6E" w:rsidRDefault="00DF44FD" w:rsidP="00E2548E">
                  <w:pPr>
                    <w:framePr w:hSpace="141" w:wrap="around" w:vAnchor="page" w:hAnchor="margin" w:y="3861"/>
                    <w:jc w:val="both"/>
                    <w:rPr>
                      <w:rFonts w:ascii="Lato" w:hAnsi="Lato"/>
                      <w:sz w:val="18"/>
                      <w:szCs w:val="18"/>
                    </w:rPr>
                  </w:pPr>
                  <w:r w:rsidRPr="00E54B6E">
                    <w:rPr>
                      <w:rFonts w:ascii="Lato" w:hAnsi="Lato"/>
                      <w:sz w:val="18"/>
                      <w:szCs w:val="18"/>
                    </w:rPr>
                    <w:t>Proponowane brzmienie</w:t>
                  </w:r>
                </w:p>
              </w:tc>
              <w:tc>
                <w:tcPr>
                  <w:tcW w:w="1250" w:type="pct"/>
                  <w:tcBorders>
                    <w:top w:val="single" w:sz="4" w:space="0" w:color="auto"/>
                    <w:left w:val="single" w:sz="4" w:space="0" w:color="auto"/>
                    <w:bottom w:val="single" w:sz="4" w:space="0" w:color="auto"/>
                    <w:right w:val="single" w:sz="4" w:space="0" w:color="auto"/>
                  </w:tcBorders>
                  <w:hideMark/>
                </w:tcPr>
                <w:p w14:paraId="46C3F301" w14:textId="77777777" w:rsidR="00DF44FD" w:rsidRPr="00E54B6E" w:rsidRDefault="00DF44FD" w:rsidP="00E2548E">
                  <w:pPr>
                    <w:framePr w:hSpace="141" w:wrap="around" w:vAnchor="page" w:hAnchor="margin" w:y="3861"/>
                    <w:jc w:val="both"/>
                    <w:rPr>
                      <w:rFonts w:ascii="Lato" w:hAnsi="Lato"/>
                      <w:sz w:val="18"/>
                      <w:szCs w:val="18"/>
                    </w:rPr>
                  </w:pPr>
                  <w:r w:rsidRPr="00E54B6E">
                    <w:rPr>
                      <w:rFonts w:ascii="Lato" w:hAnsi="Lato"/>
                      <w:sz w:val="18"/>
                      <w:szCs w:val="18"/>
                    </w:rPr>
                    <w:t>Uzasadnienie</w:t>
                  </w:r>
                </w:p>
              </w:tc>
            </w:tr>
            <w:tr w:rsidR="00DF44FD" w:rsidRPr="00E54B6E" w14:paraId="79964C0D" w14:textId="77777777" w:rsidTr="00F829FF">
              <w:tc>
                <w:tcPr>
                  <w:tcW w:w="1250" w:type="pct"/>
                  <w:tcBorders>
                    <w:top w:val="single" w:sz="4" w:space="0" w:color="auto"/>
                    <w:left w:val="single" w:sz="4" w:space="0" w:color="auto"/>
                    <w:bottom w:val="single" w:sz="4" w:space="0" w:color="auto"/>
                    <w:right w:val="single" w:sz="4" w:space="0" w:color="auto"/>
                  </w:tcBorders>
                  <w:hideMark/>
                </w:tcPr>
                <w:p w14:paraId="61C9C1AF" w14:textId="77777777" w:rsidR="00DF44FD" w:rsidRPr="00E54B6E" w:rsidRDefault="00DF44FD" w:rsidP="00E2548E">
                  <w:pPr>
                    <w:framePr w:hSpace="141" w:wrap="around" w:vAnchor="page" w:hAnchor="margin" w:y="3861"/>
                    <w:jc w:val="both"/>
                    <w:rPr>
                      <w:rFonts w:ascii="Lato" w:hAnsi="Lato"/>
                      <w:sz w:val="18"/>
                      <w:szCs w:val="18"/>
                    </w:rPr>
                  </w:pPr>
                  <w:r w:rsidRPr="00E54B6E">
                    <w:rPr>
                      <w:rFonts w:ascii="Lato" w:hAnsi="Lato"/>
                      <w:sz w:val="18"/>
                      <w:szCs w:val="18"/>
                    </w:rPr>
                    <w:t>1.</w:t>
                  </w:r>
                </w:p>
              </w:tc>
              <w:tc>
                <w:tcPr>
                  <w:tcW w:w="1250" w:type="pct"/>
                  <w:tcBorders>
                    <w:top w:val="single" w:sz="4" w:space="0" w:color="auto"/>
                    <w:left w:val="single" w:sz="4" w:space="0" w:color="auto"/>
                    <w:bottom w:val="single" w:sz="4" w:space="0" w:color="auto"/>
                    <w:right w:val="single" w:sz="4" w:space="0" w:color="auto"/>
                  </w:tcBorders>
                  <w:hideMark/>
                </w:tcPr>
                <w:p w14:paraId="14184ACA" w14:textId="77777777" w:rsidR="00DF44FD" w:rsidRPr="00E54B6E" w:rsidRDefault="00DF44FD" w:rsidP="00E2548E">
                  <w:pPr>
                    <w:framePr w:hSpace="141" w:wrap="around" w:vAnchor="page" w:hAnchor="margin" w:y="3861"/>
                    <w:jc w:val="both"/>
                    <w:rPr>
                      <w:rFonts w:ascii="Lato" w:hAnsi="Lato"/>
                      <w:sz w:val="18"/>
                      <w:szCs w:val="18"/>
                    </w:rPr>
                  </w:pPr>
                  <w:r w:rsidRPr="00E54B6E">
                    <w:rPr>
                      <w:rFonts w:ascii="Lato" w:hAnsi="Lato"/>
                      <w:sz w:val="18"/>
                      <w:szCs w:val="18"/>
                    </w:rPr>
                    <w:t>§ 1 pkt 5 lit. e</w:t>
                  </w:r>
                </w:p>
                <w:p w14:paraId="02F9F6A9" w14:textId="77777777" w:rsidR="00DF44FD" w:rsidRPr="00E54B6E" w:rsidRDefault="00DF44FD" w:rsidP="00E2548E">
                  <w:pPr>
                    <w:framePr w:hSpace="141" w:wrap="around" w:vAnchor="page" w:hAnchor="margin" w:y="3861"/>
                    <w:jc w:val="both"/>
                    <w:rPr>
                      <w:rFonts w:ascii="Lato" w:hAnsi="Lato"/>
                      <w:sz w:val="18"/>
                      <w:szCs w:val="18"/>
                    </w:rPr>
                  </w:pPr>
                  <w:r w:rsidRPr="00E54B6E">
                    <w:rPr>
                      <w:rFonts w:ascii="Lato" w:hAnsi="Lato"/>
                      <w:sz w:val="18"/>
                      <w:szCs w:val="18"/>
                    </w:rPr>
                    <w:t>e) w pkt 2.2.2. „Narażenie na niebezpieczeństwo zakażenia chorobami przenoszonymi drogą przetoczenia krwi”:–w lp. 1 kolumna 3 „Szczegółowy opis kryterium/przeciwwskazania oraz warunki pobierania krwi od kandydata na dawcę krwi lub dawcy krwi” otrzymuje brzmienie: „Dyskwalifikacja na okres 4 miesięcy”,</w:t>
                  </w:r>
                </w:p>
                <w:p w14:paraId="4A786B9D" w14:textId="77777777" w:rsidR="00DF44FD" w:rsidRPr="00E54B6E" w:rsidRDefault="00DF44FD" w:rsidP="00E2548E">
                  <w:pPr>
                    <w:framePr w:hSpace="141" w:wrap="around" w:vAnchor="page" w:hAnchor="margin" w:y="3861"/>
                    <w:jc w:val="both"/>
                    <w:rPr>
                      <w:rFonts w:ascii="Lato" w:hAnsi="Lato"/>
                      <w:sz w:val="18"/>
                      <w:szCs w:val="18"/>
                    </w:rPr>
                  </w:pPr>
                  <w:r w:rsidRPr="00E54B6E">
                    <w:rPr>
                      <w:rFonts w:ascii="Lato" w:hAnsi="Lato"/>
                      <w:sz w:val="18"/>
                      <w:szCs w:val="18"/>
                    </w:rPr>
                    <w:t xml:space="preserve">–w lp. 2 kolumna 3 „Szczegółowy opis kryterium/przeciwwskazania oraz warunki pobierania krwi od kandydata na dawcę krwi lub dawcy krwi” otrzymuje brzmienie: „Dyskwalifikacja na okres 4 miesięcy”,–w lp. 3 kolumna 3 „Szczegółowy opis kryterium/przeciwwskazania oraz warunki pobierania krwi od kandydata na dawcę krwi lub dawcy krwi” otrzymuje brzmienie: „Po zaprzestaniu </w:t>
                  </w:r>
                  <w:r w:rsidRPr="00E54B6E">
                    <w:rPr>
                      <w:rFonts w:ascii="Lato" w:hAnsi="Lato"/>
                      <w:sz w:val="18"/>
                      <w:szCs w:val="18"/>
                    </w:rPr>
                    <w:lastRenderedPageBreak/>
                    <w:t>ryzykownych zachowań dyskwalifikacja na okres zależny od rodzaju choroby i od dostępności odpowiednich testów. Osoby utrzymujące kontakty seksualne z partnerami, u których testy w kierunku AIDS (HIV) wypadły dodatnio – po zaprzestaniu kontaktów dyskwalifikacja na okres 4 miesięcy”,–w lp. 4 kolumna 3 „Szczegółowy opis kryterium/przeciwwskazania oraz warunki pobierania krwi od kandydata na dawcę krwi lub dawcy krwi” otrzymuje brzmienie: „Okres przymusowego pozbawienia wolności i okres 4 miesięcy po zakończeniu przymusowego pozbawienia wolności.”,</w:t>
                  </w:r>
                </w:p>
              </w:tc>
              <w:tc>
                <w:tcPr>
                  <w:tcW w:w="1250" w:type="pct"/>
                  <w:tcBorders>
                    <w:top w:val="single" w:sz="4" w:space="0" w:color="auto"/>
                    <w:left w:val="single" w:sz="4" w:space="0" w:color="auto"/>
                    <w:bottom w:val="single" w:sz="4" w:space="0" w:color="auto"/>
                    <w:right w:val="single" w:sz="4" w:space="0" w:color="auto"/>
                  </w:tcBorders>
                  <w:hideMark/>
                </w:tcPr>
                <w:p w14:paraId="08C5450D" w14:textId="77777777" w:rsidR="00DF44FD" w:rsidRPr="00E54B6E" w:rsidRDefault="00DF44FD" w:rsidP="00E2548E">
                  <w:pPr>
                    <w:framePr w:hSpace="141" w:wrap="around" w:vAnchor="page" w:hAnchor="margin" w:y="3861"/>
                    <w:jc w:val="both"/>
                    <w:rPr>
                      <w:rFonts w:ascii="Lato" w:hAnsi="Lato"/>
                      <w:sz w:val="18"/>
                      <w:szCs w:val="18"/>
                    </w:rPr>
                  </w:pPr>
                  <w:r w:rsidRPr="00E54B6E">
                    <w:rPr>
                      <w:rFonts w:ascii="Lato" w:hAnsi="Lato"/>
                      <w:sz w:val="18"/>
                      <w:szCs w:val="18"/>
                    </w:rPr>
                    <w:lastRenderedPageBreak/>
                    <w:t>e) w pkt 2.2.2. „Narażenie na niebezpieczeństwo zakażenia chorobami przenoszonymi drogą przetoczenia krwi”:–w lp. 1 kolumna 3 „Szczegółowy opis kryterium/przeciwwskazania oraz warunki pobierania krwi od kandydata na dawcę krwi lub dawcy krwi” otrzymuje brzmienie: „</w:t>
                  </w:r>
                  <w:r w:rsidRPr="00E54B6E">
                    <w:rPr>
                      <w:rFonts w:ascii="Lato" w:hAnsi="Lato"/>
                      <w:b/>
                      <w:bCs/>
                      <w:sz w:val="18"/>
                      <w:szCs w:val="18"/>
                    </w:rPr>
                    <w:t>4 miesiące”,</w:t>
                  </w:r>
                </w:p>
                <w:p w14:paraId="12F6B421" w14:textId="77777777" w:rsidR="00DF44FD" w:rsidRPr="00E54B6E" w:rsidRDefault="00DF44FD" w:rsidP="00E2548E">
                  <w:pPr>
                    <w:framePr w:hSpace="141" w:wrap="around" w:vAnchor="page" w:hAnchor="margin" w:y="3861"/>
                    <w:jc w:val="both"/>
                    <w:rPr>
                      <w:rFonts w:ascii="Lato" w:hAnsi="Lato"/>
                      <w:sz w:val="18"/>
                      <w:szCs w:val="18"/>
                    </w:rPr>
                  </w:pPr>
                  <w:r w:rsidRPr="00E54B6E">
                    <w:rPr>
                      <w:rFonts w:ascii="Lato" w:hAnsi="Lato"/>
                      <w:sz w:val="18"/>
                      <w:szCs w:val="18"/>
                    </w:rPr>
                    <w:t>–w lp. 2 kolumna 3 „Szczegółowy opis kryterium/przeciwwskazania oraz warunki pobierania krwi od kandydata na dawcę krwi lub dawcy krwi” otrzymuje brzmienie: „</w:t>
                  </w:r>
                  <w:r w:rsidRPr="00E54B6E">
                    <w:rPr>
                      <w:rFonts w:ascii="Lato" w:hAnsi="Lato"/>
                      <w:b/>
                      <w:bCs/>
                      <w:sz w:val="18"/>
                      <w:szCs w:val="18"/>
                    </w:rPr>
                    <w:t>4 miesiące</w:t>
                  </w:r>
                  <w:r w:rsidRPr="00E54B6E">
                    <w:rPr>
                      <w:rFonts w:ascii="Lato" w:hAnsi="Lato"/>
                      <w:sz w:val="18"/>
                      <w:szCs w:val="18"/>
                    </w:rPr>
                    <w:t>”,</w:t>
                  </w:r>
                </w:p>
                <w:p w14:paraId="1D691681" w14:textId="77777777" w:rsidR="00DF44FD" w:rsidRPr="00E54B6E" w:rsidRDefault="00DF44FD" w:rsidP="00E2548E">
                  <w:pPr>
                    <w:framePr w:hSpace="141" w:wrap="around" w:vAnchor="page" w:hAnchor="margin" w:y="3861"/>
                    <w:jc w:val="both"/>
                    <w:rPr>
                      <w:rFonts w:ascii="Lato" w:hAnsi="Lato"/>
                      <w:sz w:val="18"/>
                      <w:szCs w:val="18"/>
                    </w:rPr>
                  </w:pPr>
                  <w:r w:rsidRPr="00E54B6E">
                    <w:rPr>
                      <w:rFonts w:ascii="Lato" w:hAnsi="Lato"/>
                      <w:sz w:val="18"/>
                      <w:szCs w:val="18"/>
                    </w:rPr>
                    <w:t xml:space="preserve">–w lp. 3 kolumna 3 „Szczegółowy opis kryterium/przeciwwskazania oraz warunki pobierania krwi od kandydata na dawcę krwi lub dawcy krwi” otrzymuje brzmienie: „Po zaprzestaniu ryzykownych zachowań dyskwalifikacja na okres </w:t>
                  </w:r>
                  <w:r w:rsidRPr="00E54B6E">
                    <w:rPr>
                      <w:rFonts w:ascii="Lato" w:hAnsi="Lato"/>
                      <w:sz w:val="18"/>
                      <w:szCs w:val="18"/>
                    </w:rPr>
                    <w:lastRenderedPageBreak/>
                    <w:t xml:space="preserve">zależny od rodzaju choroby i od dostępności odpowiednich testów. Osoby utrzymujące kontakty seksualne z partnerami, u których testy w kierunku AIDS (HIV) wypadły dodatnio </w:t>
                  </w:r>
                </w:p>
                <w:p w14:paraId="63911566" w14:textId="77777777" w:rsidR="00DF44FD" w:rsidRPr="00E54B6E" w:rsidRDefault="00DF44FD" w:rsidP="00E2548E">
                  <w:pPr>
                    <w:framePr w:hSpace="141" w:wrap="around" w:vAnchor="page" w:hAnchor="margin" w:y="3861"/>
                    <w:jc w:val="both"/>
                    <w:rPr>
                      <w:rFonts w:ascii="Lato" w:hAnsi="Lato"/>
                      <w:sz w:val="18"/>
                      <w:szCs w:val="18"/>
                    </w:rPr>
                  </w:pPr>
                  <w:r w:rsidRPr="00E54B6E">
                    <w:rPr>
                      <w:rFonts w:ascii="Lato" w:hAnsi="Lato"/>
                      <w:sz w:val="18"/>
                      <w:szCs w:val="18"/>
                    </w:rPr>
                    <w:t>– „</w:t>
                  </w:r>
                  <w:r w:rsidRPr="00E54B6E">
                    <w:rPr>
                      <w:rFonts w:ascii="Lato" w:hAnsi="Lato"/>
                      <w:b/>
                      <w:bCs/>
                      <w:sz w:val="18"/>
                      <w:szCs w:val="18"/>
                    </w:rPr>
                    <w:t>4 miesiące po zaprzestaniu kontaktów</w:t>
                  </w:r>
                  <w:r w:rsidRPr="00E54B6E">
                    <w:rPr>
                      <w:rFonts w:ascii="Lato" w:hAnsi="Lato"/>
                      <w:sz w:val="18"/>
                      <w:szCs w:val="18"/>
                    </w:rPr>
                    <w:t>”,</w:t>
                  </w:r>
                </w:p>
                <w:p w14:paraId="4FEECF48" w14:textId="77777777" w:rsidR="00DF44FD" w:rsidRPr="00E54B6E" w:rsidRDefault="00DF44FD" w:rsidP="00E2548E">
                  <w:pPr>
                    <w:framePr w:hSpace="141" w:wrap="around" w:vAnchor="page" w:hAnchor="margin" w:y="3861"/>
                    <w:jc w:val="both"/>
                    <w:rPr>
                      <w:rFonts w:ascii="Lato" w:hAnsi="Lato"/>
                      <w:sz w:val="18"/>
                      <w:szCs w:val="18"/>
                    </w:rPr>
                  </w:pPr>
                  <w:r w:rsidRPr="00E54B6E">
                    <w:rPr>
                      <w:rFonts w:ascii="Lato" w:hAnsi="Lato"/>
                      <w:sz w:val="18"/>
                      <w:szCs w:val="18"/>
                    </w:rPr>
                    <w:t>–w lp. 4 kolumna 3 „Szczegółowy opis kryterium/przeciwwskazania oraz warunki pobierania krwi od kandydata na dawcę krwi lub dawcy krwi” otrzymuje brzmienie: „</w:t>
                  </w:r>
                  <w:r w:rsidRPr="00E54B6E">
                    <w:rPr>
                      <w:rFonts w:ascii="Lato" w:hAnsi="Lato"/>
                      <w:b/>
                      <w:bCs/>
                      <w:sz w:val="18"/>
                      <w:szCs w:val="18"/>
                    </w:rPr>
                    <w:t>Okres przymusowego pozbawienia wolności i 4 miesiące po zakończeniu przymusowego pozbawienia wolności.</w:t>
                  </w:r>
                  <w:r w:rsidRPr="00E54B6E">
                    <w:rPr>
                      <w:rFonts w:ascii="Lato" w:hAnsi="Lato"/>
                      <w:sz w:val="18"/>
                      <w:szCs w:val="18"/>
                    </w:rPr>
                    <w:t>”</w:t>
                  </w:r>
                </w:p>
              </w:tc>
              <w:tc>
                <w:tcPr>
                  <w:tcW w:w="1250" w:type="pct"/>
                  <w:tcBorders>
                    <w:top w:val="single" w:sz="4" w:space="0" w:color="auto"/>
                    <w:left w:val="single" w:sz="4" w:space="0" w:color="auto"/>
                    <w:bottom w:val="single" w:sz="4" w:space="0" w:color="auto"/>
                    <w:right w:val="single" w:sz="4" w:space="0" w:color="auto"/>
                  </w:tcBorders>
                  <w:hideMark/>
                </w:tcPr>
                <w:p w14:paraId="1792E635" w14:textId="77777777" w:rsidR="00DF44FD" w:rsidRPr="00E54B6E" w:rsidRDefault="00DF44FD" w:rsidP="00E2548E">
                  <w:pPr>
                    <w:framePr w:hSpace="141" w:wrap="around" w:vAnchor="page" w:hAnchor="margin" w:y="3861"/>
                    <w:jc w:val="both"/>
                    <w:rPr>
                      <w:rFonts w:ascii="Lato" w:hAnsi="Lato"/>
                      <w:sz w:val="18"/>
                      <w:szCs w:val="18"/>
                    </w:rPr>
                  </w:pPr>
                  <w:r w:rsidRPr="00E54B6E">
                    <w:rPr>
                      <w:rFonts w:ascii="Lato" w:hAnsi="Lato"/>
                      <w:sz w:val="18"/>
                      <w:szCs w:val="18"/>
                    </w:rPr>
                    <w:lastRenderedPageBreak/>
                    <w:t>Dla zapewnienia spójności i jednolitości rozporządzenia okresy dyskwalifikacji powinny być formułowane w taki sam sposób – skoro w kolumnie trzeciej „Szczegółowy opis kryterium/przeciwwskazania oraz warunki pobierania krwi od kandydata na dawcę krwi lub dawcy krwi” wskazuje się sam okres przez podanie godzin, miesięcy lub lat to nie ma potrzeby dodawania wyrazu „okres” ani wskazywania „dyskwalifikacja na okres …”</w:t>
                  </w:r>
                </w:p>
              </w:tc>
            </w:tr>
            <w:tr w:rsidR="00DF44FD" w:rsidRPr="00E54B6E" w14:paraId="16452BFA" w14:textId="77777777" w:rsidTr="00F829FF">
              <w:tc>
                <w:tcPr>
                  <w:tcW w:w="1250" w:type="pct"/>
                  <w:tcBorders>
                    <w:top w:val="single" w:sz="4" w:space="0" w:color="auto"/>
                    <w:left w:val="single" w:sz="4" w:space="0" w:color="auto"/>
                    <w:bottom w:val="single" w:sz="4" w:space="0" w:color="auto"/>
                    <w:right w:val="single" w:sz="4" w:space="0" w:color="auto"/>
                  </w:tcBorders>
                  <w:hideMark/>
                </w:tcPr>
                <w:p w14:paraId="15F095E5" w14:textId="77777777" w:rsidR="00DF44FD" w:rsidRPr="00E54B6E" w:rsidRDefault="00DF44FD" w:rsidP="00E2548E">
                  <w:pPr>
                    <w:framePr w:hSpace="141" w:wrap="around" w:vAnchor="page" w:hAnchor="margin" w:y="3861"/>
                    <w:jc w:val="both"/>
                    <w:rPr>
                      <w:rFonts w:ascii="Lato" w:hAnsi="Lato"/>
                      <w:sz w:val="18"/>
                      <w:szCs w:val="18"/>
                    </w:rPr>
                  </w:pPr>
                  <w:r w:rsidRPr="00E54B6E">
                    <w:rPr>
                      <w:rFonts w:ascii="Lato" w:hAnsi="Lato"/>
                      <w:sz w:val="18"/>
                      <w:szCs w:val="18"/>
                    </w:rPr>
                    <w:t>2.</w:t>
                  </w:r>
                </w:p>
              </w:tc>
              <w:tc>
                <w:tcPr>
                  <w:tcW w:w="1250" w:type="pct"/>
                  <w:tcBorders>
                    <w:top w:val="single" w:sz="4" w:space="0" w:color="auto"/>
                    <w:left w:val="single" w:sz="4" w:space="0" w:color="auto"/>
                    <w:bottom w:val="single" w:sz="4" w:space="0" w:color="auto"/>
                    <w:right w:val="single" w:sz="4" w:space="0" w:color="auto"/>
                  </w:tcBorders>
                </w:tcPr>
                <w:p w14:paraId="49B33FBE" w14:textId="77777777" w:rsidR="00DF44FD" w:rsidRPr="00E54B6E" w:rsidRDefault="00DF44FD" w:rsidP="00E2548E">
                  <w:pPr>
                    <w:framePr w:hSpace="141" w:wrap="around" w:vAnchor="page" w:hAnchor="margin" w:y="3861"/>
                    <w:jc w:val="both"/>
                    <w:rPr>
                      <w:rFonts w:ascii="Lato" w:hAnsi="Lato"/>
                      <w:sz w:val="18"/>
                      <w:szCs w:val="18"/>
                    </w:rPr>
                  </w:pPr>
                  <w:r w:rsidRPr="00E54B6E">
                    <w:rPr>
                      <w:rFonts w:ascii="Lato" w:hAnsi="Lato"/>
                      <w:sz w:val="18"/>
                      <w:szCs w:val="18"/>
                    </w:rPr>
                    <w:t xml:space="preserve">§ 1 pkt 5 lit. g </w:t>
                  </w:r>
                  <w:proofErr w:type="spellStart"/>
                  <w:r w:rsidRPr="00E54B6E">
                    <w:rPr>
                      <w:rFonts w:ascii="Lato" w:hAnsi="Lato"/>
                      <w:sz w:val="18"/>
                      <w:szCs w:val="18"/>
                    </w:rPr>
                    <w:t>tiret</w:t>
                  </w:r>
                  <w:proofErr w:type="spellEnd"/>
                  <w:r w:rsidRPr="00E54B6E">
                    <w:rPr>
                      <w:rFonts w:ascii="Lato" w:hAnsi="Lato"/>
                      <w:sz w:val="18"/>
                      <w:szCs w:val="18"/>
                    </w:rPr>
                    <w:t xml:space="preserve"> piąte</w:t>
                  </w:r>
                </w:p>
                <w:p w14:paraId="7CA135C9" w14:textId="77777777" w:rsidR="00DF44FD" w:rsidRPr="00E54B6E" w:rsidRDefault="00DF44FD" w:rsidP="00E2548E">
                  <w:pPr>
                    <w:framePr w:hSpace="141" w:wrap="around" w:vAnchor="page" w:hAnchor="margin" w:y="3861"/>
                    <w:jc w:val="both"/>
                    <w:rPr>
                      <w:rFonts w:ascii="Lato" w:hAnsi="Lato"/>
                      <w:sz w:val="18"/>
                      <w:szCs w:val="18"/>
                    </w:rPr>
                  </w:pPr>
                  <w:r w:rsidRPr="00E54B6E">
                    <w:rPr>
                      <w:rFonts w:ascii="Lato" w:hAnsi="Lato"/>
                      <w:sz w:val="18"/>
                      <w:szCs w:val="18"/>
                    </w:rPr>
                    <w:t>–pozostałe przypadki – odroczenie na 24 godziny”</w:t>
                  </w:r>
                </w:p>
                <w:p w14:paraId="4F995116" w14:textId="77777777" w:rsidR="00DF44FD" w:rsidRPr="00E54B6E" w:rsidRDefault="00DF44FD" w:rsidP="00E2548E">
                  <w:pPr>
                    <w:framePr w:hSpace="141" w:wrap="around" w:vAnchor="page" w:hAnchor="margin" w:y="3861"/>
                    <w:jc w:val="both"/>
                    <w:rPr>
                      <w:rFonts w:ascii="Lato" w:hAnsi="Lato"/>
                      <w:sz w:val="18"/>
                      <w:szCs w:val="18"/>
                    </w:rPr>
                  </w:pPr>
                </w:p>
              </w:tc>
              <w:tc>
                <w:tcPr>
                  <w:tcW w:w="1250" w:type="pct"/>
                  <w:tcBorders>
                    <w:top w:val="single" w:sz="4" w:space="0" w:color="auto"/>
                    <w:left w:val="single" w:sz="4" w:space="0" w:color="auto"/>
                    <w:bottom w:val="single" w:sz="4" w:space="0" w:color="auto"/>
                    <w:right w:val="single" w:sz="4" w:space="0" w:color="auto"/>
                  </w:tcBorders>
                  <w:hideMark/>
                </w:tcPr>
                <w:p w14:paraId="47C89694" w14:textId="77777777" w:rsidR="00DF44FD" w:rsidRPr="00E54B6E" w:rsidRDefault="00DF44FD" w:rsidP="00E2548E">
                  <w:pPr>
                    <w:framePr w:hSpace="141" w:wrap="around" w:vAnchor="page" w:hAnchor="margin" w:y="3861"/>
                    <w:jc w:val="both"/>
                    <w:rPr>
                      <w:rFonts w:ascii="Lato" w:hAnsi="Lato"/>
                      <w:sz w:val="18"/>
                      <w:szCs w:val="18"/>
                    </w:rPr>
                  </w:pPr>
                  <w:r w:rsidRPr="00E54B6E">
                    <w:rPr>
                      <w:rFonts w:ascii="Lato" w:hAnsi="Lato"/>
                      <w:sz w:val="18"/>
                      <w:szCs w:val="18"/>
                    </w:rPr>
                    <w:t>– pozostałe przypadki – 24 godziny”</w:t>
                  </w:r>
                </w:p>
              </w:tc>
              <w:tc>
                <w:tcPr>
                  <w:tcW w:w="1250" w:type="pct"/>
                  <w:tcBorders>
                    <w:top w:val="single" w:sz="4" w:space="0" w:color="auto"/>
                    <w:left w:val="single" w:sz="4" w:space="0" w:color="auto"/>
                    <w:bottom w:val="single" w:sz="4" w:space="0" w:color="auto"/>
                    <w:right w:val="single" w:sz="4" w:space="0" w:color="auto"/>
                  </w:tcBorders>
                  <w:hideMark/>
                </w:tcPr>
                <w:p w14:paraId="75458095" w14:textId="77777777" w:rsidR="00DF44FD" w:rsidRPr="00E54B6E" w:rsidRDefault="00DF44FD" w:rsidP="00E2548E">
                  <w:pPr>
                    <w:framePr w:hSpace="141" w:wrap="around" w:vAnchor="page" w:hAnchor="margin" w:y="3861"/>
                    <w:jc w:val="both"/>
                    <w:rPr>
                      <w:rFonts w:ascii="Lato" w:hAnsi="Lato"/>
                      <w:sz w:val="18"/>
                      <w:szCs w:val="18"/>
                    </w:rPr>
                  </w:pPr>
                  <w:r w:rsidRPr="00E54B6E">
                    <w:rPr>
                      <w:rFonts w:ascii="Lato" w:hAnsi="Lato"/>
                      <w:sz w:val="18"/>
                      <w:szCs w:val="18"/>
                    </w:rPr>
                    <w:t xml:space="preserve">Posłużenie się pojęciem „odroczenia” nie jest właściwe – kandydata na dawcę krwi lub dawcę krwi się dyskwalifikuje na stałe lub czasowo, </w:t>
                  </w:r>
                  <w:proofErr w:type="spellStart"/>
                  <w:r w:rsidRPr="00E54B6E">
                    <w:rPr>
                      <w:rFonts w:ascii="Lato" w:hAnsi="Lato"/>
                      <w:i/>
                      <w:iCs/>
                      <w:sz w:val="18"/>
                      <w:szCs w:val="18"/>
                    </w:rPr>
                    <w:t>tertium</w:t>
                  </w:r>
                  <w:proofErr w:type="spellEnd"/>
                  <w:r w:rsidRPr="00E54B6E">
                    <w:rPr>
                      <w:rFonts w:ascii="Lato" w:hAnsi="Lato"/>
                      <w:i/>
                      <w:iCs/>
                      <w:sz w:val="18"/>
                      <w:szCs w:val="18"/>
                    </w:rPr>
                    <w:t xml:space="preserve"> non datur</w:t>
                  </w:r>
                  <w:r w:rsidRPr="00E54B6E">
                    <w:rPr>
                      <w:rFonts w:ascii="Lato" w:hAnsi="Lato"/>
                      <w:sz w:val="18"/>
                      <w:szCs w:val="18"/>
                    </w:rPr>
                    <w:t xml:space="preserve">. Zakres pojęcia „odroczenie” jest tożsamy </w:t>
                  </w:r>
                  <w:r w:rsidRPr="00E54B6E">
                    <w:rPr>
                      <w:rFonts w:ascii="Lato" w:hAnsi="Lato"/>
                      <w:sz w:val="18"/>
                      <w:szCs w:val="18"/>
                    </w:rPr>
                    <w:br/>
                    <w:t xml:space="preserve">z dyskwalifikacją czasową. Użycie wyrazu „odroczenie” narusza nakaz oznaczania  </w:t>
                  </w:r>
                  <w:r w:rsidRPr="00E54B6E">
                    <w:rPr>
                      <w:rFonts w:ascii="Lato" w:hAnsi="Lato"/>
                      <w:sz w:val="18"/>
                      <w:szCs w:val="18"/>
                    </w:rPr>
                    <w:lastRenderedPageBreak/>
                    <w:t xml:space="preserve">jednakowych pojęć jednakowymi określeniami (zakaz wykładni homonimicznej –  tym samym zwrotom nie należy nadawać różnych znaczeń). </w:t>
                  </w:r>
                </w:p>
                <w:p w14:paraId="0662C5A6" w14:textId="77777777" w:rsidR="00DF44FD" w:rsidRPr="00E54B6E" w:rsidRDefault="00DF44FD" w:rsidP="00E2548E">
                  <w:pPr>
                    <w:framePr w:hSpace="141" w:wrap="around" w:vAnchor="page" w:hAnchor="margin" w:y="3861"/>
                    <w:jc w:val="both"/>
                    <w:rPr>
                      <w:rFonts w:ascii="Lato" w:hAnsi="Lato"/>
                      <w:sz w:val="18"/>
                      <w:szCs w:val="18"/>
                    </w:rPr>
                  </w:pPr>
                  <w:r w:rsidRPr="00E54B6E">
                    <w:rPr>
                      <w:rFonts w:ascii="Lato" w:hAnsi="Lato"/>
                      <w:sz w:val="18"/>
                      <w:szCs w:val="18"/>
                    </w:rPr>
                    <w:t xml:space="preserve">W systemie komputerowym do obsługi dawców krwi </w:t>
                  </w:r>
                  <w:r w:rsidRPr="00E54B6E">
                    <w:rPr>
                      <w:rFonts w:ascii="Lato" w:hAnsi="Lato"/>
                      <w:sz w:val="18"/>
                      <w:szCs w:val="18"/>
                    </w:rPr>
                    <w:br/>
                    <w:t xml:space="preserve">w komentowanym przypadku zostanie odnotowane </w:t>
                  </w:r>
                  <w:r w:rsidRPr="00E54B6E">
                    <w:rPr>
                      <w:rFonts w:ascii="Lato" w:hAnsi="Lato"/>
                      <w:sz w:val="18"/>
                      <w:szCs w:val="18"/>
                    </w:rPr>
                    <w:br/>
                    <w:t>i oznaczone odpowiednim symbolem, że kandydat na dawcę krwi lub dawca krwi został zdyskwalifikowany czasowo na 24 godziny, a nie że został odroczony. „Wyraz „odroczenie” w kontekście kwalifikacji dawców ma charakter potoczny i także z tego względu nie należy go używać w rozporządzeniu.</w:t>
                  </w:r>
                </w:p>
              </w:tc>
            </w:tr>
            <w:tr w:rsidR="00DF44FD" w:rsidRPr="00E54B6E" w14:paraId="3BD17820" w14:textId="77777777" w:rsidTr="00F829FF">
              <w:tc>
                <w:tcPr>
                  <w:tcW w:w="1250" w:type="pct"/>
                  <w:tcBorders>
                    <w:top w:val="single" w:sz="4" w:space="0" w:color="auto"/>
                    <w:left w:val="single" w:sz="4" w:space="0" w:color="auto"/>
                    <w:bottom w:val="single" w:sz="4" w:space="0" w:color="auto"/>
                    <w:right w:val="single" w:sz="4" w:space="0" w:color="auto"/>
                  </w:tcBorders>
                  <w:hideMark/>
                </w:tcPr>
                <w:p w14:paraId="76B4D1E9" w14:textId="77777777" w:rsidR="00DF44FD" w:rsidRPr="00E54B6E" w:rsidRDefault="00DF44FD" w:rsidP="00E2548E">
                  <w:pPr>
                    <w:framePr w:hSpace="141" w:wrap="around" w:vAnchor="page" w:hAnchor="margin" w:y="3861"/>
                    <w:jc w:val="both"/>
                    <w:rPr>
                      <w:rFonts w:ascii="Lato" w:hAnsi="Lato"/>
                      <w:sz w:val="18"/>
                      <w:szCs w:val="18"/>
                    </w:rPr>
                  </w:pPr>
                  <w:r w:rsidRPr="00E54B6E">
                    <w:rPr>
                      <w:rFonts w:ascii="Lato" w:hAnsi="Lato"/>
                      <w:sz w:val="18"/>
                      <w:szCs w:val="18"/>
                    </w:rPr>
                    <w:lastRenderedPageBreak/>
                    <w:t>3.</w:t>
                  </w:r>
                </w:p>
              </w:tc>
              <w:tc>
                <w:tcPr>
                  <w:tcW w:w="1250" w:type="pct"/>
                  <w:tcBorders>
                    <w:top w:val="single" w:sz="4" w:space="0" w:color="auto"/>
                    <w:left w:val="single" w:sz="4" w:space="0" w:color="auto"/>
                    <w:bottom w:val="single" w:sz="4" w:space="0" w:color="auto"/>
                    <w:right w:val="single" w:sz="4" w:space="0" w:color="auto"/>
                  </w:tcBorders>
                  <w:hideMark/>
                </w:tcPr>
                <w:p w14:paraId="11E5CB69" w14:textId="77777777" w:rsidR="00DF44FD" w:rsidRPr="00E54B6E" w:rsidRDefault="00DF44FD" w:rsidP="00E2548E">
                  <w:pPr>
                    <w:framePr w:hSpace="141" w:wrap="around" w:vAnchor="page" w:hAnchor="margin" w:y="3861"/>
                    <w:jc w:val="both"/>
                    <w:rPr>
                      <w:rFonts w:ascii="Lato" w:hAnsi="Lato"/>
                      <w:sz w:val="18"/>
                      <w:szCs w:val="18"/>
                    </w:rPr>
                  </w:pPr>
                  <w:r w:rsidRPr="00E54B6E">
                    <w:rPr>
                      <w:rFonts w:ascii="Lato" w:hAnsi="Lato"/>
                      <w:sz w:val="18"/>
                      <w:szCs w:val="18"/>
                    </w:rPr>
                    <w:t xml:space="preserve">§ 2.  ust. 2 </w:t>
                  </w:r>
                  <w:bookmarkStart w:id="2" w:name="_Hlk153916236"/>
                  <w:r w:rsidRPr="00E54B6E">
                    <w:rPr>
                      <w:rFonts w:ascii="Lato" w:hAnsi="Lato"/>
                      <w:sz w:val="18"/>
                      <w:szCs w:val="18"/>
                    </w:rPr>
                    <w:t xml:space="preserve">Dawcy krwi albo kandydatowi na dawcę krwi, któremu na podstawie dotychczasowych przepisów </w:t>
                  </w:r>
                  <w:bookmarkEnd w:id="2"/>
                  <w:r w:rsidRPr="00E54B6E">
                    <w:rPr>
                      <w:rFonts w:ascii="Lato" w:hAnsi="Lato"/>
                      <w:sz w:val="18"/>
                      <w:szCs w:val="18"/>
                    </w:rPr>
                    <w:t xml:space="preserve">orzeczono dyskwalifikację stałą, a który spełnia wymagania określone w rozporządzaniu zmienianym w § 1, , może zostać cofnięta dyskwalifikacja stała po przeprowadzeniu kwalifikacji </w:t>
                  </w:r>
                  <w:r w:rsidRPr="00E54B6E">
                    <w:rPr>
                      <w:rFonts w:ascii="Lato" w:hAnsi="Lato"/>
                      <w:sz w:val="18"/>
                      <w:szCs w:val="18"/>
                    </w:rPr>
                    <w:lastRenderedPageBreak/>
                    <w:t>do oddania krwi lub jej składników.</w:t>
                  </w:r>
                </w:p>
              </w:tc>
              <w:tc>
                <w:tcPr>
                  <w:tcW w:w="1250" w:type="pct"/>
                  <w:tcBorders>
                    <w:top w:val="single" w:sz="4" w:space="0" w:color="auto"/>
                    <w:left w:val="single" w:sz="4" w:space="0" w:color="auto"/>
                    <w:bottom w:val="single" w:sz="4" w:space="0" w:color="auto"/>
                    <w:right w:val="single" w:sz="4" w:space="0" w:color="auto"/>
                  </w:tcBorders>
                </w:tcPr>
                <w:p w14:paraId="37B9470C" w14:textId="77777777" w:rsidR="00DF44FD" w:rsidRPr="00E54B6E" w:rsidRDefault="00DF44FD" w:rsidP="00E2548E">
                  <w:pPr>
                    <w:framePr w:hSpace="141" w:wrap="around" w:vAnchor="page" w:hAnchor="margin" w:y="3861"/>
                    <w:jc w:val="both"/>
                    <w:rPr>
                      <w:rFonts w:ascii="Lato" w:hAnsi="Lato"/>
                      <w:sz w:val="18"/>
                      <w:szCs w:val="18"/>
                    </w:rPr>
                  </w:pPr>
                  <w:bookmarkStart w:id="3" w:name="_Hlk153916288"/>
                  <w:r w:rsidRPr="00E54B6E">
                    <w:rPr>
                      <w:rFonts w:ascii="Lato" w:hAnsi="Lato"/>
                      <w:sz w:val="18"/>
                      <w:szCs w:val="18"/>
                    </w:rPr>
                    <w:lastRenderedPageBreak/>
                    <w:t xml:space="preserve">§ 2. ust. 2 Dyskwalifikacja stała orzeczona na podstawie przepisów dotychczasowych może zostać cofnięta po przeprowadzeniu kwalifikacji do pobrania krwi, jeśli kandydat na dawcę krwi albo dawca krwi spełnia wymagania określane w rozporządzeniu zmienianym </w:t>
                  </w:r>
                  <w:r w:rsidRPr="00E54B6E">
                    <w:rPr>
                      <w:rFonts w:ascii="Lato" w:hAnsi="Lato"/>
                      <w:sz w:val="18"/>
                      <w:szCs w:val="18"/>
                    </w:rPr>
                    <w:lastRenderedPageBreak/>
                    <w:t>w § 1, w brzmieniu nadanym niniejszym rozporządzaniem.</w:t>
                  </w:r>
                </w:p>
                <w:bookmarkEnd w:id="3"/>
                <w:p w14:paraId="59E77146" w14:textId="77777777" w:rsidR="00DF44FD" w:rsidRPr="00E54B6E" w:rsidRDefault="00DF44FD" w:rsidP="00E2548E">
                  <w:pPr>
                    <w:framePr w:hSpace="141" w:wrap="around" w:vAnchor="page" w:hAnchor="margin" w:y="3861"/>
                    <w:jc w:val="both"/>
                    <w:rPr>
                      <w:rFonts w:ascii="Lato" w:hAnsi="Lato"/>
                      <w:sz w:val="18"/>
                      <w:szCs w:val="18"/>
                    </w:rPr>
                  </w:pPr>
                </w:p>
                <w:p w14:paraId="1EF16312" w14:textId="77777777" w:rsidR="00DF44FD" w:rsidRPr="00E54B6E" w:rsidRDefault="00DF44FD" w:rsidP="00E2548E">
                  <w:pPr>
                    <w:framePr w:hSpace="141" w:wrap="around" w:vAnchor="page" w:hAnchor="margin" w:y="3861"/>
                    <w:jc w:val="both"/>
                    <w:rPr>
                      <w:rFonts w:ascii="Lato" w:hAnsi="Lato"/>
                      <w:sz w:val="18"/>
                      <w:szCs w:val="18"/>
                    </w:rPr>
                  </w:pPr>
                </w:p>
              </w:tc>
              <w:tc>
                <w:tcPr>
                  <w:tcW w:w="1250" w:type="pct"/>
                  <w:tcBorders>
                    <w:top w:val="single" w:sz="4" w:space="0" w:color="auto"/>
                    <w:left w:val="single" w:sz="4" w:space="0" w:color="auto"/>
                    <w:bottom w:val="single" w:sz="4" w:space="0" w:color="auto"/>
                    <w:right w:val="single" w:sz="4" w:space="0" w:color="auto"/>
                  </w:tcBorders>
                  <w:hideMark/>
                </w:tcPr>
                <w:p w14:paraId="2D727ECF" w14:textId="77777777" w:rsidR="00DF44FD" w:rsidRPr="00E54B6E" w:rsidRDefault="00DF44FD" w:rsidP="00E2548E">
                  <w:pPr>
                    <w:framePr w:hSpace="141" w:wrap="around" w:vAnchor="page" w:hAnchor="margin" w:y="3861"/>
                    <w:jc w:val="both"/>
                    <w:rPr>
                      <w:rFonts w:ascii="Lato" w:hAnsi="Lato"/>
                      <w:sz w:val="18"/>
                      <w:szCs w:val="18"/>
                    </w:rPr>
                  </w:pPr>
                  <w:r w:rsidRPr="00E54B6E">
                    <w:rPr>
                      <w:rFonts w:ascii="Lato" w:hAnsi="Lato"/>
                      <w:sz w:val="18"/>
                      <w:szCs w:val="18"/>
                    </w:rPr>
                    <w:lastRenderedPageBreak/>
                    <w:t xml:space="preserve">Redakcja przepisu jest niefortunna, a artykułowaną normę prawną można wyrazić prościej i krócej. Użycie celownika </w:t>
                  </w:r>
                  <w:r w:rsidRPr="00E54B6E">
                    <w:rPr>
                      <w:rFonts w:ascii="Lato" w:hAnsi="Lato"/>
                      <w:sz w:val="18"/>
                      <w:szCs w:val="18"/>
                    </w:rPr>
                    <w:br/>
                    <w:t xml:space="preserve">w sformułowaniu „Dawcy krwi albo kandydatowi na dawcę krwi, któremu na podstawie dotychczasowych przepisów orzeczono dyskwalifikację stałą” nie jest </w:t>
                  </w:r>
                  <w:r w:rsidRPr="00E54B6E">
                    <w:rPr>
                      <w:rFonts w:ascii="Lato" w:hAnsi="Lato"/>
                      <w:sz w:val="18"/>
                      <w:szCs w:val="18"/>
                    </w:rPr>
                    <w:lastRenderedPageBreak/>
                    <w:t xml:space="preserve">właściwe, bo czasownik „orzekać” łączy się z przyimkiem „wobec”, czyli powinien być dopełniacz (jeśli taka konstrukcja miałaby zostać). </w:t>
                  </w:r>
                </w:p>
                <w:p w14:paraId="1C7799CD" w14:textId="77777777" w:rsidR="00DF44FD" w:rsidRPr="00E54B6E" w:rsidRDefault="00DF44FD" w:rsidP="00E2548E">
                  <w:pPr>
                    <w:framePr w:hSpace="141" w:wrap="around" w:vAnchor="page" w:hAnchor="margin" w:y="3861"/>
                    <w:jc w:val="both"/>
                    <w:rPr>
                      <w:rFonts w:ascii="Lato" w:hAnsi="Lato"/>
                      <w:sz w:val="18"/>
                      <w:szCs w:val="18"/>
                    </w:rPr>
                  </w:pPr>
                  <w:r w:rsidRPr="00E54B6E">
                    <w:rPr>
                      <w:rFonts w:ascii="Lato" w:hAnsi="Lato"/>
                      <w:sz w:val="18"/>
                      <w:szCs w:val="18"/>
                    </w:rPr>
                    <w:t xml:space="preserve">W tytule rozporządzenia w sprawie warunków pobierania krwi od kandydatów na dawców krwi i dawców krwi jak </w:t>
                  </w:r>
                  <w:r w:rsidRPr="00E54B6E">
                    <w:rPr>
                      <w:rFonts w:ascii="Lato" w:hAnsi="Lato"/>
                      <w:sz w:val="18"/>
                      <w:szCs w:val="18"/>
                    </w:rPr>
                    <w:br/>
                    <w:t>i w jego treści kandydat na dawcę krwi jest zawsze wymieniany jako pierwszy, po nim wskazuje się dawcę krwi, co jest logiczne, bo najpierw jest się kandydatem na dawcę krwi, a później dawcą krwi – z tych powodów, dla zapewnienia spójności rozporządzenia, proponuje się odwrócenie kolejności i wskazanie najpierw kandydata na dawcę, a później dawcy krwi.</w:t>
                  </w:r>
                </w:p>
                <w:p w14:paraId="335415B4" w14:textId="77777777" w:rsidR="00DF44FD" w:rsidRPr="00E54B6E" w:rsidRDefault="00DF44FD" w:rsidP="00E2548E">
                  <w:pPr>
                    <w:framePr w:hSpace="141" w:wrap="around" w:vAnchor="page" w:hAnchor="margin" w:y="3861"/>
                    <w:jc w:val="both"/>
                    <w:rPr>
                      <w:rFonts w:ascii="Lato" w:hAnsi="Lato"/>
                      <w:sz w:val="18"/>
                      <w:szCs w:val="18"/>
                    </w:rPr>
                  </w:pPr>
                  <w:r w:rsidRPr="00E54B6E">
                    <w:rPr>
                      <w:rFonts w:ascii="Lato" w:hAnsi="Lato"/>
                      <w:sz w:val="18"/>
                      <w:szCs w:val="18"/>
                    </w:rPr>
                    <w:t xml:space="preserve">W przepisie użyto wyrażenia „kwalifikacji do oddania krwi lub jej składników”, choć kandydatów na dawców krwi </w:t>
                  </w:r>
                  <w:r w:rsidRPr="00E54B6E">
                    <w:rPr>
                      <w:rFonts w:ascii="Lato" w:hAnsi="Lato"/>
                      <w:sz w:val="18"/>
                      <w:szCs w:val="18"/>
                    </w:rPr>
                    <w:br/>
                    <w:t xml:space="preserve">i dawców krwi kwalifikuje się do pobrania krwi - § 5 ust. 1 orzeczenie o stanie zdrowia kandydata na dawcę krwi lub </w:t>
                  </w:r>
                  <w:r w:rsidRPr="00E54B6E">
                    <w:rPr>
                      <w:rFonts w:ascii="Lato" w:hAnsi="Lato"/>
                      <w:sz w:val="18"/>
                      <w:szCs w:val="18"/>
                    </w:rPr>
                    <w:lastRenderedPageBreak/>
                    <w:t>dawcy krwi  zawiera określenie „kwalifikuje się do pobrania krwi” lub „nie kwalifikuje się do pobrania krwi”. Z tych też powodów nie jest konieczne wskazywanie, że kwalifikuje się do pobrania krwi lub jej składników.</w:t>
                  </w:r>
                </w:p>
              </w:tc>
            </w:tr>
            <w:tr w:rsidR="00DF44FD" w:rsidRPr="00E54B6E" w14:paraId="0F9E95ED" w14:textId="77777777" w:rsidTr="00F829FF">
              <w:tc>
                <w:tcPr>
                  <w:tcW w:w="1250" w:type="pct"/>
                  <w:tcBorders>
                    <w:top w:val="single" w:sz="4" w:space="0" w:color="auto"/>
                    <w:left w:val="single" w:sz="4" w:space="0" w:color="auto"/>
                    <w:bottom w:val="single" w:sz="4" w:space="0" w:color="auto"/>
                    <w:right w:val="single" w:sz="4" w:space="0" w:color="auto"/>
                  </w:tcBorders>
                  <w:hideMark/>
                </w:tcPr>
                <w:p w14:paraId="6DFA4661" w14:textId="77777777" w:rsidR="00DF44FD" w:rsidRPr="00E54B6E" w:rsidRDefault="00DF44FD" w:rsidP="00E2548E">
                  <w:pPr>
                    <w:framePr w:hSpace="141" w:wrap="around" w:vAnchor="page" w:hAnchor="margin" w:y="3861"/>
                    <w:jc w:val="both"/>
                    <w:rPr>
                      <w:rFonts w:ascii="Lato" w:hAnsi="Lato"/>
                      <w:sz w:val="18"/>
                      <w:szCs w:val="18"/>
                    </w:rPr>
                  </w:pPr>
                  <w:r w:rsidRPr="00E54B6E">
                    <w:rPr>
                      <w:rFonts w:ascii="Lato" w:hAnsi="Lato"/>
                      <w:sz w:val="18"/>
                      <w:szCs w:val="18"/>
                    </w:rPr>
                    <w:lastRenderedPageBreak/>
                    <w:t>4.</w:t>
                  </w:r>
                </w:p>
              </w:tc>
              <w:tc>
                <w:tcPr>
                  <w:tcW w:w="1250" w:type="pct"/>
                  <w:tcBorders>
                    <w:top w:val="single" w:sz="4" w:space="0" w:color="auto"/>
                    <w:left w:val="single" w:sz="4" w:space="0" w:color="auto"/>
                    <w:bottom w:val="single" w:sz="4" w:space="0" w:color="auto"/>
                    <w:right w:val="single" w:sz="4" w:space="0" w:color="auto"/>
                  </w:tcBorders>
                  <w:hideMark/>
                </w:tcPr>
                <w:p w14:paraId="356AE083" w14:textId="77777777" w:rsidR="00DF44FD" w:rsidRPr="00E54B6E" w:rsidRDefault="00DF44FD" w:rsidP="00E2548E">
                  <w:pPr>
                    <w:framePr w:hSpace="141" w:wrap="around" w:vAnchor="page" w:hAnchor="margin" w:y="3861"/>
                    <w:jc w:val="both"/>
                    <w:rPr>
                      <w:rFonts w:ascii="Lato" w:hAnsi="Lato"/>
                      <w:sz w:val="18"/>
                      <w:szCs w:val="18"/>
                    </w:rPr>
                  </w:pPr>
                  <w:r w:rsidRPr="00E54B6E">
                    <w:rPr>
                      <w:rFonts w:ascii="Lato" w:hAnsi="Lato"/>
                      <w:sz w:val="18"/>
                      <w:szCs w:val="18"/>
                    </w:rPr>
                    <w:t>Załącznik DOPUSZCZALNA ILOŚĆ ODDAWANEJ KRWI I JEJ SKŁADNIKÓW ORAZ CZĘSTOTLIWOŚĆ ICH ODDAWANIA</w:t>
                  </w:r>
                </w:p>
              </w:tc>
              <w:tc>
                <w:tcPr>
                  <w:tcW w:w="1250" w:type="pct"/>
                  <w:tcBorders>
                    <w:top w:val="single" w:sz="4" w:space="0" w:color="auto"/>
                    <w:left w:val="single" w:sz="4" w:space="0" w:color="auto"/>
                    <w:bottom w:val="single" w:sz="4" w:space="0" w:color="auto"/>
                    <w:right w:val="single" w:sz="4" w:space="0" w:color="auto"/>
                  </w:tcBorders>
                  <w:hideMark/>
                </w:tcPr>
                <w:p w14:paraId="6033E35F" w14:textId="77777777" w:rsidR="00DF44FD" w:rsidRPr="00E54B6E" w:rsidRDefault="00DF44FD" w:rsidP="00E2548E">
                  <w:pPr>
                    <w:framePr w:hSpace="141" w:wrap="around" w:vAnchor="page" w:hAnchor="margin" w:y="3861"/>
                    <w:jc w:val="both"/>
                    <w:rPr>
                      <w:rFonts w:ascii="Lato" w:hAnsi="Lato"/>
                      <w:sz w:val="18"/>
                      <w:szCs w:val="18"/>
                    </w:rPr>
                  </w:pPr>
                  <w:r w:rsidRPr="00E54B6E">
                    <w:rPr>
                      <w:rFonts w:ascii="Lato" w:hAnsi="Lato"/>
                      <w:sz w:val="18"/>
                      <w:szCs w:val="18"/>
                    </w:rPr>
                    <w:t>Pod tabelą:</w:t>
                  </w:r>
                </w:p>
                <w:p w14:paraId="41A68EED" w14:textId="77777777" w:rsidR="00DF44FD" w:rsidRPr="00E54B6E" w:rsidRDefault="00DF44FD" w:rsidP="00E2548E">
                  <w:pPr>
                    <w:framePr w:hSpace="141" w:wrap="around" w:vAnchor="page" w:hAnchor="margin" w:y="3861"/>
                    <w:jc w:val="both"/>
                    <w:rPr>
                      <w:rFonts w:ascii="Lato" w:hAnsi="Lato"/>
                      <w:sz w:val="18"/>
                      <w:szCs w:val="18"/>
                    </w:rPr>
                  </w:pPr>
                  <w:r w:rsidRPr="00E54B6E">
                    <w:rPr>
                      <w:rFonts w:ascii="Lato" w:hAnsi="Lato"/>
                      <w:sz w:val="18"/>
                      <w:szCs w:val="18"/>
                    </w:rPr>
                    <w:t>Przy obliczaniu terminów wskazanych w tabeli nie uwzględnia się dnia pobrania krwi lub jej składników – termin rozpoczyna bieg od dnia następnego.</w:t>
                  </w:r>
                </w:p>
                <w:p w14:paraId="2DC5E4A7" w14:textId="77777777" w:rsidR="00DF44FD" w:rsidRPr="00E54B6E" w:rsidRDefault="00DF44FD" w:rsidP="00E2548E">
                  <w:pPr>
                    <w:framePr w:hSpace="141" w:wrap="around" w:vAnchor="page" w:hAnchor="margin" w:y="3861"/>
                    <w:jc w:val="both"/>
                    <w:rPr>
                      <w:rFonts w:ascii="Lato" w:hAnsi="Lato"/>
                      <w:sz w:val="18"/>
                      <w:szCs w:val="18"/>
                    </w:rPr>
                  </w:pPr>
                  <w:r w:rsidRPr="00E54B6E">
                    <w:rPr>
                      <w:rFonts w:ascii="Lato" w:hAnsi="Lato"/>
                      <w:sz w:val="18"/>
                      <w:szCs w:val="18"/>
                    </w:rPr>
                    <w:t>albo</w:t>
                  </w:r>
                </w:p>
                <w:p w14:paraId="1BE1AA3F" w14:textId="77777777" w:rsidR="00DF44FD" w:rsidRPr="00E54B6E" w:rsidRDefault="00DF44FD" w:rsidP="00E2548E">
                  <w:pPr>
                    <w:framePr w:hSpace="141" w:wrap="around" w:vAnchor="page" w:hAnchor="margin" w:y="3861"/>
                    <w:jc w:val="both"/>
                    <w:rPr>
                      <w:rFonts w:ascii="Lato" w:hAnsi="Lato"/>
                      <w:sz w:val="18"/>
                      <w:szCs w:val="18"/>
                    </w:rPr>
                  </w:pPr>
                  <w:bookmarkStart w:id="4" w:name="_Hlk153916443"/>
                  <w:r w:rsidRPr="00E54B6E">
                    <w:rPr>
                      <w:rFonts w:ascii="Lato" w:hAnsi="Lato"/>
                      <w:sz w:val="18"/>
                      <w:szCs w:val="18"/>
                    </w:rPr>
                    <w:t>Przy obliczaniu terminów wskazanych w tabeli uwzględnia się  dzień pobrania krwi lub jej składników.</w:t>
                  </w:r>
                  <w:bookmarkEnd w:id="4"/>
                </w:p>
              </w:tc>
              <w:tc>
                <w:tcPr>
                  <w:tcW w:w="1250" w:type="pct"/>
                  <w:tcBorders>
                    <w:top w:val="single" w:sz="4" w:space="0" w:color="auto"/>
                    <w:left w:val="single" w:sz="4" w:space="0" w:color="auto"/>
                    <w:bottom w:val="single" w:sz="4" w:space="0" w:color="auto"/>
                    <w:right w:val="single" w:sz="4" w:space="0" w:color="auto"/>
                  </w:tcBorders>
                  <w:hideMark/>
                </w:tcPr>
                <w:p w14:paraId="3B4CE29E" w14:textId="77777777" w:rsidR="00DF44FD" w:rsidRPr="00E54B6E" w:rsidRDefault="00DF44FD" w:rsidP="00E2548E">
                  <w:pPr>
                    <w:framePr w:hSpace="141" w:wrap="around" w:vAnchor="page" w:hAnchor="margin" w:y="3861"/>
                    <w:jc w:val="both"/>
                    <w:rPr>
                      <w:rFonts w:ascii="Lato" w:hAnsi="Lato"/>
                      <w:sz w:val="18"/>
                      <w:szCs w:val="18"/>
                    </w:rPr>
                  </w:pPr>
                  <w:r w:rsidRPr="00E54B6E">
                    <w:rPr>
                      <w:rFonts w:ascii="Lato" w:hAnsi="Lato"/>
                      <w:sz w:val="18"/>
                      <w:szCs w:val="18"/>
                    </w:rPr>
                    <w:t xml:space="preserve">Doprecyzowanie sposobu liczenia terminów w samym rozporządzeniu wydaje się rozwiązaniem uzasadnionym </w:t>
                  </w:r>
                  <w:r w:rsidRPr="00E54B6E">
                    <w:rPr>
                      <w:rFonts w:ascii="Lato" w:hAnsi="Lato"/>
                      <w:sz w:val="18"/>
                      <w:szCs w:val="18"/>
                    </w:rPr>
                    <w:br/>
                    <w:t xml:space="preserve">i przydatnym. Przyjęcie określonego sposobu liczenia przerw między donacjami rodzi konkretne skutki – liczenie  zgodnie z pierwszym podanym sposobem (cywilistycznie zgodnie z art. 111 § 2 </w:t>
                  </w:r>
                  <w:proofErr w:type="spellStart"/>
                  <w:r w:rsidRPr="00E54B6E">
                    <w:rPr>
                      <w:rFonts w:ascii="Lato" w:hAnsi="Lato"/>
                      <w:sz w:val="18"/>
                      <w:szCs w:val="18"/>
                    </w:rPr>
                    <w:t>kc</w:t>
                  </w:r>
                  <w:proofErr w:type="spellEnd"/>
                  <w:r w:rsidRPr="00E54B6E">
                    <w:rPr>
                      <w:rFonts w:ascii="Lato" w:hAnsi="Lato"/>
                      <w:sz w:val="18"/>
                      <w:szCs w:val="18"/>
                    </w:rPr>
                    <w:t xml:space="preserve">) powoduje, że dawcy krwi oddający krew systematycznie, w szczególności podczas cyklicznych wyjazdowych akcji pobierania krwi (np. akcji odbywających się co dwa tygodnie) oddadzą jej mniej. Rozważenia wymaga, czy taki sposób liczenia przerw między donacjami jest uzasadniony – czy ryzyko zdrowotne dotyczące dawcy krwi jest istotnie mniejsze niż </w:t>
                  </w:r>
                  <w:r w:rsidRPr="00E54B6E">
                    <w:rPr>
                      <w:rFonts w:ascii="Lato" w:hAnsi="Lato"/>
                      <w:sz w:val="18"/>
                      <w:szCs w:val="18"/>
                    </w:rPr>
                    <w:lastRenderedPageBreak/>
                    <w:t xml:space="preserve">w przypadku uwzględniania przy liczeniu przerw między donacjami dnia pobrania krwi lub jej składników (drugi ze wskazanych sposobów). </w:t>
                  </w:r>
                </w:p>
              </w:tc>
            </w:tr>
            <w:tr w:rsidR="00DF44FD" w:rsidRPr="00E54B6E" w14:paraId="2B431851" w14:textId="77777777" w:rsidTr="00F829FF">
              <w:tc>
                <w:tcPr>
                  <w:tcW w:w="1250" w:type="pct"/>
                  <w:tcBorders>
                    <w:top w:val="single" w:sz="4" w:space="0" w:color="auto"/>
                    <w:left w:val="single" w:sz="4" w:space="0" w:color="auto"/>
                    <w:bottom w:val="single" w:sz="4" w:space="0" w:color="auto"/>
                    <w:right w:val="single" w:sz="4" w:space="0" w:color="auto"/>
                  </w:tcBorders>
                  <w:hideMark/>
                </w:tcPr>
                <w:p w14:paraId="51EA665C" w14:textId="77777777" w:rsidR="00DF44FD" w:rsidRPr="00E54B6E" w:rsidRDefault="00DF44FD" w:rsidP="00E2548E">
                  <w:pPr>
                    <w:framePr w:hSpace="141" w:wrap="around" w:vAnchor="page" w:hAnchor="margin" w:y="3861"/>
                    <w:jc w:val="both"/>
                    <w:rPr>
                      <w:rFonts w:ascii="Lato" w:hAnsi="Lato"/>
                      <w:sz w:val="18"/>
                      <w:szCs w:val="18"/>
                    </w:rPr>
                  </w:pPr>
                  <w:r w:rsidRPr="00E54B6E">
                    <w:rPr>
                      <w:rFonts w:ascii="Lato" w:hAnsi="Lato"/>
                      <w:sz w:val="18"/>
                      <w:szCs w:val="18"/>
                    </w:rPr>
                    <w:lastRenderedPageBreak/>
                    <w:t>5.</w:t>
                  </w:r>
                </w:p>
              </w:tc>
              <w:tc>
                <w:tcPr>
                  <w:tcW w:w="1250" w:type="pct"/>
                  <w:tcBorders>
                    <w:top w:val="single" w:sz="4" w:space="0" w:color="auto"/>
                    <w:left w:val="single" w:sz="4" w:space="0" w:color="auto"/>
                    <w:bottom w:val="single" w:sz="4" w:space="0" w:color="auto"/>
                    <w:right w:val="single" w:sz="4" w:space="0" w:color="auto"/>
                  </w:tcBorders>
                </w:tcPr>
                <w:p w14:paraId="2865B948" w14:textId="77777777" w:rsidR="00DF44FD" w:rsidRPr="00E54B6E" w:rsidRDefault="00DF44FD" w:rsidP="00E2548E">
                  <w:pPr>
                    <w:framePr w:hSpace="141" w:wrap="around" w:vAnchor="page" w:hAnchor="margin" w:y="3861"/>
                    <w:jc w:val="both"/>
                    <w:rPr>
                      <w:rFonts w:ascii="Lato" w:hAnsi="Lato"/>
                      <w:sz w:val="18"/>
                      <w:szCs w:val="18"/>
                    </w:rPr>
                  </w:pPr>
                  <w:r w:rsidRPr="00E54B6E">
                    <w:rPr>
                      <w:rFonts w:ascii="Lato" w:hAnsi="Lato"/>
                      <w:sz w:val="18"/>
                      <w:szCs w:val="18"/>
                    </w:rPr>
                    <w:t>Załącznik</w:t>
                  </w:r>
                </w:p>
                <w:p w14:paraId="6181BB2C" w14:textId="77777777" w:rsidR="00DF44FD" w:rsidRPr="00E54B6E" w:rsidRDefault="00DF44FD" w:rsidP="00E2548E">
                  <w:pPr>
                    <w:framePr w:hSpace="141" w:wrap="around" w:vAnchor="page" w:hAnchor="margin" w:y="3861"/>
                    <w:jc w:val="both"/>
                    <w:rPr>
                      <w:rFonts w:ascii="Lato" w:hAnsi="Lato"/>
                      <w:sz w:val="18"/>
                      <w:szCs w:val="18"/>
                    </w:rPr>
                  </w:pPr>
                  <w:r w:rsidRPr="00E54B6E">
                    <w:rPr>
                      <w:rFonts w:ascii="Lato" w:hAnsi="Lato"/>
                      <w:sz w:val="18"/>
                      <w:szCs w:val="18"/>
                    </w:rPr>
                    <w:t>II. DOPUSZCZALNA ILOŚĆ ODDAWANEJ KRWI I JEJ SKŁADNIKÓW ORAZ SZCZEGÓLNE PRZYPADKI ODSTĘPÓW MIĘDZY DONACJAMI KRWI I JEJ SKŁADNIKÓW</w:t>
                  </w:r>
                </w:p>
                <w:p w14:paraId="48F673C8" w14:textId="77777777" w:rsidR="00DF44FD" w:rsidRPr="00E54B6E" w:rsidRDefault="00DF44FD" w:rsidP="00E2548E">
                  <w:pPr>
                    <w:framePr w:hSpace="141" w:wrap="around" w:vAnchor="page" w:hAnchor="margin" w:y="3861"/>
                    <w:jc w:val="both"/>
                    <w:rPr>
                      <w:rFonts w:ascii="Lato" w:hAnsi="Lato"/>
                      <w:sz w:val="18"/>
                      <w:szCs w:val="18"/>
                    </w:rPr>
                  </w:pPr>
                </w:p>
                <w:p w14:paraId="31C48F9B" w14:textId="77777777" w:rsidR="00DF44FD" w:rsidRPr="00E54B6E" w:rsidRDefault="00DF44FD" w:rsidP="00E2548E">
                  <w:pPr>
                    <w:framePr w:hSpace="141" w:wrap="around" w:vAnchor="page" w:hAnchor="margin" w:y="3861"/>
                    <w:jc w:val="both"/>
                    <w:rPr>
                      <w:rFonts w:ascii="Lato" w:hAnsi="Lato"/>
                      <w:sz w:val="18"/>
                      <w:szCs w:val="18"/>
                    </w:rPr>
                  </w:pPr>
                </w:p>
              </w:tc>
              <w:tc>
                <w:tcPr>
                  <w:tcW w:w="1250" w:type="pct"/>
                  <w:tcBorders>
                    <w:top w:val="single" w:sz="4" w:space="0" w:color="auto"/>
                    <w:left w:val="single" w:sz="4" w:space="0" w:color="auto"/>
                    <w:bottom w:val="single" w:sz="4" w:space="0" w:color="auto"/>
                    <w:right w:val="single" w:sz="4" w:space="0" w:color="auto"/>
                  </w:tcBorders>
                  <w:hideMark/>
                </w:tcPr>
                <w:p w14:paraId="5CC5FFE1" w14:textId="77777777" w:rsidR="00DF44FD" w:rsidRPr="00E54B6E" w:rsidRDefault="00DF44FD" w:rsidP="00E2548E">
                  <w:pPr>
                    <w:framePr w:hSpace="141" w:wrap="around" w:vAnchor="page" w:hAnchor="margin" w:y="3861"/>
                    <w:jc w:val="both"/>
                    <w:rPr>
                      <w:rFonts w:ascii="Lato" w:hAnsi="Lato"/>
                      <w:sz w:val="18"/>
                      <w:szCs w:val="18"/>
                    </w:rPr>
                  </w:pPr>
                  <w:r w:rsidRPr="00E54B6E">
                    <w:rPr>
                      <w:rFonts w:ascii="Lato" w:hAnsi="Lato"/>
                      <w:sz w:val="18"/>
                      <w:szCs w:val="18"/>
                    </w:rPr>
                    <w:t>W całym załączniku wyraz „dawca” należy zastąpić wyrazem „dawca krwi”.</w:t>
                  </w:r>
                </w:p>
              </w:tc>
              <w:tc>
                <w:tcPr>
                  <w:tcW w:w="1250" w:type="pct"/>
                  <w:tcBorders>
                    <w:top w:val="single" w:sz="4" w:space="0" w:color="auto"/>
                    <w:left w:val="single" w:sz="4" w:space="0" w:color="auto"/>
                    <w:bottom w:val="single" w:sz="4" w:space="0" w:color="auto"/>
                    <w:right w:val="single" w:sz="4" w:space="0" w:color="auto"/>
                  </w:tcBorders>
                  <w:hideMark/>
                </w:tcPr>
                <w:p w14:paraId="32F63B06" w14:textId="77777777" w:rsidR="00DF44FD" w:rsidRPr="00E54B6E" w:rsidRDefault="00DF44FD" w:rsidP="00E2548E">
                  <w:pPr>
                    <w:framePr w:hSpace="141" w:wrap="around" w:vAnchor="page" w:hAnchor="margin" w:y="3861"/>
                    <w:jc w:val="both"/>
                    <w:rPr>
                      <w:rFonts w:ascii="Lato" w:hAnsi="Lato"/>
                      <w:sz w:val="18"/>
                      <w:szCs w:val="18"/>
                    </w:rPr>
                  </w:pPr>
                  <w:r w:rsidRPr="00E54B6E">
                    <w:rPr>
                      <w:rFonts w:ascii="Lato" w:hAnsi="Lato"/>
                      <w:sz w:val="18"/>
                      <w:szCs w:val="18"/>
                    </w:rPr>
                    <w:t xml:space="preserve">Ustawa z dnia 22 sierpnia 1997 r. o publicznej służbie krwi (Dz. U. z 2023 r. poz. 318 i 650) w art. 5 pkt 3 definiuje pojęcie „dawcy krwi”. Zgodnie z nakazem używania pojęć występujących w języku prawnym i związanym z nim </w:t>
                  </w:r>
                  <w:r w:rsidRPr="00E54B6E">
                    <w:rPr>
                      <w:rFonts w:ascii="Lato" w:hAnsi="Lato"/>
                      <w:sz w:val="18"/>
                      <w:szCs w:val="18"/>
                    </w:rPr>
                    <w:br/>
                    <w:t xml:space="preserve">z nakazem przestrzegania definicji legalnych, jeżeli w systemie prawnym wiążąco ustalono znaczenie określonych zwrotów w formie definicji legalnej, to należy używać ich w tym właśnie znaczeniu. Jeśli w ustawie stanowiącej podstawę wydania rozporządzenie zdefiniowano pojęcie to trzeba używać właśnie tego pojęcia w takim brzmieniu – zatem „dawca krwi”, a nie „dawca”. Rozporządzenie ma charakter wykonawczy </w:t>
                  </w:r>
                  <w:r w:rsidRPr="00E54B6E">
                    <w:rPr>
                      <w:rFonts w:ascii="Lato" w:hAnsi="Lato"/>
                      <w:sz w:val="18"/>
                      <w:szCs w:val="18"/>
                    </w:rPr>
                    <w:br/>
                    <w:t xml:space="preserve">i niesamodzielny i z tego też względu w jego treści należy </w:t>
                  </w:r>
                  <w:r w:rsidRPr="00E54B6E">
                    <w:rPr>
                      <w:rFonts w:ascii="Lato" w:hAnsi="Lato"/>
                      <w:sz w:val="18"/>
                      <w:szCs w:val="18"/>
                    </w:rPr>
                    <w:lastRenderedPageBreak/>
                    <w:t>posługiwać się pojęciami zdefiniowanymi w ustawie.</w:t>
                  </w:r>
                </w:p>
              </w:tc>
            </w:tr>
            <w:tr w:rsidR="00DF44FD" w:rsidRPr="00E54B6E" w14:paraId="5F06FBB7" w14:textId="77777777" w:rsidTr="00F829FF">
              <w:tc>
                <w:tcPr>
                  <w:tcW w:w="1250" w:type="pct"/>
                  <w:tcBorders>
                    <w:top w:val="single" w:sz="4" w:space="0" w:color="auto"/>
                    <w:left w:val="single" w:sz="4" w:space="0" w:color="auto"/>
                    <w:bottom w:val="single" w:sz="4" w:space="0" w:color="auto"/>
                    <w:right w:val="single" w:sz="4" w:space="0" w:color="auto"/>
                  </w:tcBorders>
                  <w:hideMark/>
                </w:tcPr>
                <w:p w14:paraId="4808ABAC" w14:textId="77777777" w:rsidR="00DF44FD" w:rsidRPr="00E54B6E" w:rsidRDefault="00DF44FD" w:rsidP="00E2548E">
                  <w:pPr>
                    <w:framePr w:hSpace="141" w:wrap="around" w:vAnchor="page" w:hAnchor="margin" w:y="3861"/>
                    <w:jc w:val="both"/>
                    <w:rPr>
                      <w:rFonts w:ascii="Lato" w:hAnsi="Lato"/>
                      <w:sz w:val="18"/>
                      <w:szCs w:val="18"/>
                    </w:rPr>
                  </w:pPr>
                  <w:r w:rsidRPr="00E54B6E">
                    <w:rPr>
                      <w:rFonts w:ascii="Lato" w:hAnsi="Lato"/>
                      <w:sz w:val="18"/>
                      <w:szCs w:val="18"/>
                    </w:rPr>
                    <w:lastRenderedPageBreak/>
                    <w:t>6.</w:t>
                  </w:r>
                </w:p>
              </w:tc>
              <w:tc>
                <w:tcPr>
                  <w:tcW w:w="1250" w:type="pct"/>
                  <w:tcBorders>
                    <w:top w:val="single" w:sz="4" w:space="0" w:color="auto"/>
                    <w:left w:val="single" w:sz="4" w:space="0" w:color="auto"/>
                    <w:bottom w:val="single" w:sz="4" w:space="0" w:color="auto"/>
                    <w:right w:val="single" w:sz="4" w:space="0" w:color="auto"/>
                  </w:tcBorders>
                  <w:hideMark/>
                </w:tcPr>
                <w:p w14:paraId="0FAED3EF" w14:textId="77777777" w:rsidR="00DF44FD" w:rsidRPr="00E54B6E" w:rsidRDefault="00DF44FD" w:rsidP="00E2548E">
                  <w:pPr>
                    <w:framePr w:hSpace="141" w:wrap="around" w:vAnchor="page" w:hAnchor="margin" w:y="3861"/>
                    <w:jc w:val="both"/>
                    <w:rPr>
                      <w:rFonts w:ascii="Lato" w:hAnsi="Lato"/>
                      <w:sz w:val="18"/>
                      <w:szCs w:val="18"/>
                    </w:rPr>
                  </w:pPr>
                  <w:r w:rsidRPr="00E54B6E">
                    <w:rPr>
                      <w:rFonts w:ascii="Lato" w:hAnsi="Lato"/>
                      <w:sz w:val="18"/>
                      <w:szCs w:val="18"/>
                    </w:rPr>
                    <w:t>Załącznik</w:t>
                  </w:r>
                </w:p>
                <w:p w14:paraId="41052143" w14:textId="77777777" w:rsidR="00DF44FD" w:rsidRPr="00E54B6E" w:rsidRDefault="00DF44FD" w:rsidP="00E2548E">
                  <w:pPr>
                    <w:framePr w:hSpace="141" w:wrap="around" w:vAnchor="page" w:hAnchor="margin" w:y="3861"/>
                    <w:jc w:val="both"/>
                    <w:rPr>
                      <w:rFonts w:ascii="Lato" w:hAnsi="Lato"/>
                      <w:sz w:val="18"/>
                      <w:szCs w:val="18"/>
                    </w:rPr>
                  </w:pPr>
                  <w:r w:rsidRPr="00E54B6E">
                    <w:rPr>
                      <w:rFonts w:ascii="Lato" w:hAnsi="Lato"/>
                      <w:sz w:val="18"/>
                      <w:szCs w:val="18"/>
                    </w:rPr>
                    <w:t>II. DOPUSZCZALNA ILOŚĆ ODDAWANEJ KRWI I JEJ SKŁADNIKÓW ORAZ SZCZEGÓLNE PRZYPADKI ODSTĘPÓW MIĘDZY DONACJAMI KRWI I JEJ SKŁADNIKÓW</w:t>
                  </w:r>
                </w:p>
                <w:p w14:paraId="7CD9CBF9" w14:textId="77777777" w:rsidR="00DF44FD" w:rsidRPr="00E54B6E" w:rsidRDefault="00DF44FD" w:rsidP="00E2548E">
                  <w:pPr>
                    <w:framePr w:hSpace="141" w:wrap="around" w:vAnchor="page" w:hAnchor="margin" w:y="3861"/>
                    <w:jc w:val="both"/>
                    <w:rPr>
                      <w:rFonts w:ascii="Lato" w:hAnsi="Lato"/>
                      <w:sz w:val="18"/>
                      <w:szCs w:val="18"/>
                    </w:rPr>
                  </w:pPr>
                  <w:r w:rsidRPr="00E54B6E">
                    <w:rPr>
                      <w:rFonts w:ascii="Lato" w:hAnsi="Lato"/>
                      <w:sz w:val="18"/>
                      <w:szCs w:val="18"/>
                    </w:rPr>
                    <w:t>Pkt 4 zdanie drugie</w:t>
                  </w:r>
                </w:p>
                <w:p w14:paraId="4A72F7FB" w14:textId="77777777" w:rsidR="00DF44FD" w:rsidRPr="00E54B6E" w:rsidRDefault="00DF44FD" w:rsidP="00E2548E">
                  <w:pPr>
                    <w:framePr w:hSpace="141" w:wrap="around" w:vAnchor="page" w:hAnchor="margin" w:y="3861"/>
                    <w:jc w:val="both"/>
                    <w:rPr>
                      <w:rFonts w:ascii="Lato" w:hAnsi="Lato"/>
                      <w:sz w:val="18"/>
                      <w:szCs w:val="18"/>
                    </w:rPr>
                  </w:pPr>
                  <w:r w:rsidRPr="00E54B6E">
                    <w:rPr>
                      <w:rFonts w:ascii="Lato" w:hAnsi="Lato"/>
                      <w:sz w:val="18"/>
                      <w:szCs w:val="18"/>
                    </w:rPr>
                    <w:t>Jeżeli ten odstęp ten nie jest zachowany, dawcę należy odroczyć na odpowiedni czas zgodnie z częścią I niniejszego załącznika, w celu zapewnienia prawidłowych odstępów między donacjami zawierającymi krwinki czerwone.</w:t>
                  </w:r>
                </w:p>
              </w:tc>
              <w:tc>
                <w:tcPr>
                  <w:tcW w:w="1250" w:type="pct"/>
                  <w:tcBorders>
                    <w:top w:val="single" w:sz="4" w:space="0" w:color="auto"/>
                    <w:left w:val="single" w:sz="4" w:space="0" w:color="auto"/>
                    <w:bottom w:val="single" w:sz="4" w:space="0" w:color="auto"/>
                    <w:right w:val="single" w:sz="4" w:space="0" w:color="auto"/>
                  </w:tcBorders>
                  <w:hideMark/>
                </w:tcPr>
                <w:p w14:paraId="37A04102" w14:textId="77777777" w:rsidR="00DF44FD" w:rsidRPr="00E54B6E" w:rsidRDefault="00DF44FD" w:rsidP="00E2548E">
                  <w:pPr>
                    <w:framePr w:hSpace="141" w:wrap="around" w:vAnchor="page" w:hAnchor="margin" w:y="3861"/>
                    <w:jc w:val="both"/>
                    <w:rPr>
                      <w:rFonts w:ascii="Lato" w:hAnsi="Lato"/>
                      <w:sz w:val="18"/>
                      <w:szCs w:val="18"/>
                    </w:rPr>
                  </w:pPr>
                  <w:r w:rsidRPr="00E54B6E">
                    <w:rPr>
                      <w:rFonts w:ascii="Lato" w:hAnsi="Lato"/>
                      <w:sz w:val="18"/>
                      <w:szCs w:val="18"/>
                    </w:rPr>
                    <w:t>Jeżeli ten odstęp ten nie jest zachowany, dawcę krwi należy zdyskwalifikować na odpowiedni czas zgodnie z częścią I niniejszego załącznika, w celu zapewnienia prawidłowych odstępów między donacjami zawierającymi krwinki czerwone.</w:t>
                  </w:r>
                </w:p>
              </w:tc>
              <w:tc>
                <w:tcPr>
                  <w:tcW w:w="1250" w:type="pct"/>
                  <w:tcBorders>
                    <w:top w:val="single" w:sz="4" w:space="0" w:color="auto"/>
                    <w:left w:val="single" w:sz="4" w:space="0" w:color="auto"/>
                    <w:bottom w:val="single" w:sz="4" w:space="0" w:color="auto"/>
                    <w:right w:val="single" w:sz="4" w:space="0" w:color="auto"/>
                  </w:tcBorders>
                  <w:hideMark/>
                </w:tcPr>
                <w:p w14:paraId="19EAC7FD" w14:textId="77777777" w:rsidR="00DF44FD" w:rsidRPr="00E54B6E" w:rsidRDefault="00DF44FD" w:rsidP="00E2548E">
                  <w:pPr>
                    <w:framePr w:hSpace="141" w:wrap="around" w:vAnchor="page" w:hAnchor="margin" w:y="3861"/>
                    <w:jc w:val="both"/>
                    <w:rPr>
                      <w:rFonts w:ascii="Lato" w:hAnsi="Lato"/>
                      <w:sz w:val="18"/>
                      <w:szCs w:val="18"/>
                    </w:rPr>
                  </w:pPr>
                  <w:r w:rsidRPr="00E54B6E">
                    <w:rPr>
                      <w:rFonts w:ascii="Lato" w:hAnsi="Lato"/>
                      <w:sz w:val="18"/>
                      <w:szCs w:val="18"/>
                    </w:rPr>
                    <w:t>Posługiwanie się wyrazem „odroczyć” w miejsce zdyskwalifikować jest niewłaściwe i niepoprawne (</w:t>
                  </w:r>
                  <w:r w:rsidRPr="00E54B6E">
                    <w:rPr>
                      <w:rFonts w:ascii="Lato" w:hAnsi="Lato"/>
                      <w:i/>
                      <w:iCs/>
                      <w:sz w:val="18"/>
                      <w:szCs w:val="18"/>
                    </w:rPr>
                    <w:t>vide</w:t>
                  </w:r>
                  <w:r w:rsidRPr="00E54B6E">
                    <w:rPr>
                      <w:rFonts w:ascii="Lato" w:hAnsi="Lato"/>
                      <w:sz w:val="18"/>
                      <w:szCs w:val="18"/>
                    </w:rPr>
                    <w:t xml:space="preserve"> uwagi w pkt 2)</w:t>
                  </w:r>
                </w:p>
              </w:tc>
            </w:tr>
            <w:tr w:rsidR="00DF44FD" w:rsidRPr="00E54B6E" w14:paraId="001CB12C" w14:textId="77777777" w:rsidTr="00F829FF">
              <w:tc>
                <w:tcPr>
                  <w:tcW w:w="1250" w:type="pct"/>
                  <w:tcBorders>
                    <w:top w:val="single" w:sz="4" w:space="0" w:color="auto"/>
                    <w:left w:val="single" w:sz="4" w:space="0" w:color="auto"/>
                    <w:bottom w:val="single" w:sz="4" w:space="0" w:color="auto"/>
                    <w:right w:val="single" w:sz="4" w:space="0" w:color="auto"/>
                  </w:tcBorders>
                  <w:hideMark/>
                </w:tcPr>
                <w:p w14:paraId="29F38E46" w14:textId="77777777" w:rsidR="00DF44FD" w:rsidRPr="00E54B6E" w:rsidRDefault="00DF44FD" w:rsidP="00E2548E">
                  <w:pPr>
                    <w:framePr w:hSpace="141" w:wrap="around" w:vAnchor="page" w:hAnchor="margin" w:y="3861"/>
                    <w:jc w:val="both"/>
                    <w:rPr>
                      <w:rFonts w:ascii="Lato" w:hAnsi="Lato"/>
                      <w:sz w:val="18"/>
                      <w:szCs w:val="18"/>
                    </w:rPr>
                  </w:pPr>
                  <w:r w:rsidRPr="00E54B6E">
                    <w:rPr>
                      <w:rFonts w:ascii="Lato" w:hAnsi="Lato"/>
                      <w:sz w:val="18"/>
                      <w:szCs w:val="18"/>
                    </w:rPr>
                    <w:t>7.</w:t>
                  </w:r>
                </w:p>
              </w:tc>
              <w:tc>
                <w:tcPr>
                  <w:tcW w:w="1250" w:type="pct"/>
                  <w:tcBorders>
                    <w:top w:val="single" w:sz="4" w:space="0" w:color="auto"/>
                    <w:left w:val="single" w:sz="4" w:space="0" w:color="auto"/>
                    <w:bottom w:val="single" w:sz="4" w:space="0" w:color="auto"/>
                    <w:right w:val="single" w:sz="4" w:space="0" w:color="auto"/>
                  </w:tcBorders>
                  <w:hideMark/>
                </w:tcPr>
                <w:p w14:paraId="7FA5D164" w14:textId="77777777" w:rsidR="00DF44FD" w:rsidRPr="00E54B6E" w:rsidRDefault="00DF44FD" w:rsidP="00E2548E">
                  <w:pPr>
                    <w:framePr w:hSpace="141" w:wrap="around" w:vAnchor="page" w:hAnchor="margin" w:y="3861"/>
                    <w:jc w:val="both"/>
                    <w:rPr>
                      <w:rFonts w:ascii="Lato" w:hAnsi="Lato"/>
                      <w:sz w:val="18"/>
                      <w:szCs w:val="18"/>
                    </w:rPr>
                  </w:pPr>
                  <w:r w:rsidRPr="00E54B6E">
                    <w:rPr>
                      <w:rFonts w:ascii="Lato" w:hAnsi="Lato"/>
                      <w:sz w:val="18"/>
                      <w:szCs w:val="18"/>
                    </w:rPr>
                    <w:t xml:space="preserve">Uzasadnienie </w:t>
                  </w:r>
                </w:p>
                <w:p w14:paraId="175EF1DA" w14:textId="77777777" w:rsidR="00DF44FD" w:rsidRPr="00E54B6E" w:rsidRDefault="00DF44FD" w:rsidP="00E2548E">
                  <w:pPr>
                    <w:framePr w:hSpace="141" w:wrap="around" w:vAnchor="page" w:hAnchor="margin" w:y="3861"/>
                    <w:jc w:val="both"/>
                    <w:rPr>
                      <w:rFonts w:ascii="Lato" w:hAnsi="Lato"/>
                      <w:sz w:val="18"/>
                      <w:szCs w:val="18"/>
                    </w:rPr>
                  </w:pPr>
                  <w:r w:rsidRPr="00E54B6E">
                    <w:rPr>
                      <w:rFonts w:ascii="Lato" w:hAnsi="Lato"/>
                      <w:sz w:val="18"/>
                      <w:szCs w:val="18"/>
                    </w:rPr>
                    <w:t>Akapit 3</w:t>
                  </w:r>
                </w:p>
                <w:p w14:paraId="3070E9E0" w14:textId="77777777" w:rsidR="00DF44FD" w:rsidRPr="00E54B6E" w:rsidRDefault="00DF44FD" w:rsidP="00E2548E">
                  <w:pPr>
                    <w:framePr w:hSpace="141" w:wrap="around" w:vAnchor="page" w:hAnchor="margin" w:y="3861"/>
                    <w:jc w:val="both"/>
                    <w:rPr>
                      <w:rFonts w:ascii="Lato" w:hAnsi="Lato"/>
                      <w:sz w:val="18"/>
                      <w:szCs w:val="18"/>
                    </w:rPr>
                  </w:pPr>
                  <w:r w:rsidRPr="00E54B6E">
                    <w:rPr>
                      <w:rFonts w:ascii="Lato" w:hAnsi="Lato"/>
                      <w:sz w:val="18"/>
                      <w:szCs w:val="18"/>
                    </w:rPr>
                    <w:t xml:space="preserve">Projektowana zmiana rozporządzenia dopuszcza możliwość kwalifikacji oraz orzekania o stanie zdrowia kandydata na dawcę krwi lub dawcę krwi przez pielęgniarkę. Powyższe </w:t>
                  </w:r>
                  <w:r w:rsidRPr="00E54B6E">
                    <w:rPr>
                      <w:rFonts w:ascii="Lato" w:hAnsi="Lato"/>
                      <w:sz w:val="18"/>
                      <w:szCs w:val="18"/>
                    </w:rPr>
                    <w:lastRenderedPageBreak/>
                    <w:t>rozwiązanie ma przyczynić się do zwiększenia możliwości kwalifikacji dawców, w przypadku ograniczonej liczby lekarzy np. w oddziałach terenowych czy mobilnych akcjach pobierania krwi.</w:t>
                  </w:r>
                </w:p>
              </w:tc>
              <w:tc>
                <w:tcPr>
                  <w:tcW w:w="1250" w:type="pct"/>
                  <w:tcBorders>
                    <w:top w:val="single" w:sz="4" w:space="0" w:color="auto"/>
                    <w:left w:val="single" w:sz="4" w:space="0" w:color="auto"/>
                    <w:bottom w:val="single" w:sz="4" w:space="0" w:color="auto"/>
                    <w:right w:val="single" w:sz="4" w:space="0" w:color="auto"/>
                  </w:tcBorders>
                  <w:hideMark/>
                </w:tcPr>
                <w:p w14:paraId="76C8FA42" w14:textId="77777777" w:rsidR="00DF44FD" w:rsidRPr="00E54B6E" w:rsidRDefault="00DF44FD" w:rsidP="00E2548E">
                  <w:pPr>
                    <w:framePr w:hSpace="141" w:wrap="around" w:vAnchor="page" w:hAnchor="margin" w:y="3861"/>
                    <w:jc w:val="both"/>
                    <w:rPr>
                      <w:rFonts w:ascii="Lato" w:hAnsi="Lato"/>
                      <w:sz w:val="18"/>
                      <w:szCs w:val="18"/>
                    </w:rPr>
                  </w:pPr>
                  <w:r w:rsidRPr="00E54B6E">
                    <w:rPr>
                      <w:rFonts w:ascii="Lato" w:hAnsi="Lato"/>
                      <w:sz w:val="18"/>
                      <w:szCs w:val="18"/>
                    </w:rPr>
                    <w:lastRenderedPageBreak/>
                    <w:t xml:space="preserve">Projektowana zmiana dostosowuje rozporządzenie do ustawy o publicznej służbie krwi dopuszczającej możliwość kwalifikacji oraz orzekania o stanie zdrowia kandydata na dawcę krwi lub dawcę krwi przez pielęgniarkę. Powyższe rozwiązanie ma przyczynić się do zwiększenia </w:t>
                  </w:r>
                  <w:r w:rsidRPr="00E54B6E">
                    <w:rPr>
                      <w:rFonts w:ascii="Lato" w:hAnsi="Lato"/>
                      <w:sz w:val="18"/>
                      <w:szCs w:val="18"/>
                    </w:rPr>
                    <w:lastRenderedPageBreak/>
                    <w:t>możliwości kwalifikacji dawców, w przypadku ograniczonej liczby lekarzy np. w oddziałach terenowych czy mobilnych akcjach pobierania krwi.</w:t>
                  </w:r>
                </w:p>
              </w:tc>
              <w:tc>
                <w:tcPr>
                  <w:tcW w:w="1250" w:type="pct"/>
                  <w:tcBorders>
                    <w:top w:val="single" w:sz="4" w:space="0" w:color="auto"/>
                    <w:left w:val="single" w:sz="4" w:space="0" w:color="auto"/>
                    <w:bottom w:val="single" w:sz="4" w:space="0" w:color="auto"/>
                    <w:right w:val="single" w:sz="4" w:space="0" w:color="auto"/>
                  </w:tcBorders>
                  <w:hideMark/>
                </w:tcPr>
                <w:p w14:paraId="1735A58C" w14:textId="77777777" w:rsidR="00DF44FD" w:rsidRPr="00E54B6E" w:rsidRDefault="00DF44FD" w:rsidP="00E2548E">
                  <w:pPr>
                    <w:framePr w:hSpace="141" w:wrap="around" w:vAnchor="page" w:hAnchor="margin" w:y="3861"/>
                    <w:jc w:val="both"/>
                    <w:rPr>
                      <w:rFonts w:ascii="Lato" w:hAnsi="Lato"/>
                      <w:sz w:val="18"/>
                      <w:szCs w:val="18"/>
                    </w:rPr>
                  </w:pPr>
                  <w:r w:rsidRPr="00E54B6E">
                    <w:rPr>
                      <w:rFonts w:ascii="Lato" w:hAnsi="Lato"/>
                      <w:sz w:val="18"/>
                      <w:szCs w:val="18"/>
                    </w:rPr>
                    <w:lastRenderedPageBreak/>
                    <w:t xml:space="preserve">Pierwotne brzmienie sugeruje, że to rozporządzenie wprowadza tę zmianę, a przyznanie prawa do kwalifikacji dawców krwi pielęgniarkom nastąpiło na podstawie ustawy z dnia 9 marca 2023 r. o Krajowej Sieci Onkologicznej, co </w:t>
                  </w:r>
                  <w:r w:rsidRPr="00E54B6E">
                    <w:rPr>
                      <w:rFonts w:ascii="Lato" w:hAnsi="Lato"/>
                      <w:sz w:val="18"/>
                      <w:szCs w:val="18"/>
                    </w:rPr>
                    <w:lastRenderedPageBreak/>
                    <w:t xml:space="preserve">podkreślono tez w ocenie skutków regulacji (pkt </w:t>
                  </w:r>
                  <w:r w:rsidRPr="00E54B6E">
                    <w:rPr>
                      <w:rFonts w:ascii="Lato" w:hAnsi="Lato"/>
                      <w:sz w:val="18"/>
                      <w:szCs w:val="18"/>
                    </w:rPr>
                    <w:fldChar w:fldCharType="begin"/>
                  </w:r>
                  <w:r w:rsidRPr="00E54B6E">
                    <w:rPr>
                      <w:rFonts w:ascii="Lato" w:hAnsi="Lato"/>
                      <w:sz w:val="18"/>
                      <w:szCs w:val="18"/>
                    </w:rPr>
                    <w:instrText xml:space="preserve"> LISTNUM  </w:instrText>
                  </w:r>
                  <w:r w:rsidRPr="00E54B6E">
                    <w:rPr>
                      <w:rFonts w:ascii="Lato" w:hAnsi="Lato"/>
                      <w:sz w:val="18"/>
                      <w:szCs w:val="18"/>
                    </w:rPr>
                    <w:fldChar w:fldCharType="end"/>
                  </w:r>
                </w:p>
              </w:tc>
            </w:tr>
            <w:tr w:rsidR="00DF44FD" w:rsidRPr="00E54B6E" w14:paraId="63A91401" w14:textId="77777777" w:rsidTr="00F829FF">
              <w:tc>
                <w:tcPr>
                  <w:tcW w:w="1250" w:type="pct"/>
                  <w:tcBorders>
                    <w:top w:val="single" w:sz="4" w:space="0" w:color="auto"/>
                    <w:left w:val="single" w:sz="4" w:space="0" w:color="auto"/>
                    <w:bottom w:val="single" w:sz="4" w:space="0" w:color="auto"/>
                    <w:right w:val="single" w:sz="4" w:space="0" w:color="auto"/>
                  </w:tcBorders>
                  <w:hideMark/>
                </w:tcPr>
                <w:p w14:paraId="67C59922" w14:textId="77777777" w:rsidR="00DF44FD" w:rsidRPr="00E54B6E" w:rsidRDefault="00DF44FD" w:rsidP="00E2548E">
                  <w:pPr>
                    <w:framePr w:hSpace="141" w:wrap="around" w:vAnchor="page" w:hAnchor="margin" w:y="3861"/>
                    <w:jc w:val="both"/>
                    <w:rPr>
                      <w:rFonts w:ascii="Lato" w:hAnsi="Lato"/>
                      <w:sz w:val="18"/>
                      <w:szCs w:val="18"/>
                    </w:rPr>
                  </w:pPr>
                  <w:r w:rsidRPr="00E54B6E">
                    <w:rPr>
                      <w:rFonts w:ascii="Lato" w:hAnsi="Lato"/>
                      <w:sz w:val="18"/>
                      <w:szCs w:val="18"/>
                    </w:rPr>
                    <w:lastRenderedPageBreak/>
                    <w:t>8.</w:t>
                  </w:r>
                </w:p>
              </w:tc>
              <w:tc>
                <w:tcPr>
                  <w:tcW w:w="1250" w:type="pct"/>
                  <w:tcBorders>
                    <w:top w:val="single" w:sz="4" w:space="0" w:color="auto"/>
                    <w:left w:val="single" w:sz="4" w:space="0" w:color="auto"/>
                    <w:bottom w:val="single" w:sz="4" w:space="0" w:color="auto"/>
                    <w:right w:val="single" w:sz="4" w:space="0" w:color="auto"/>
                  </w:tcBorders>
                  <w:hideMark/>
                </w:tcPr>
                <w:p w14:paraId="22909761" w14:textId="77777777" w:rsidR="00DF44FD" w:rsidRPr="00E54B6E" w:rsidRDefault="00DF44FD" w:rsidP="00E2548E">
                  <w:pPr>
                    <w:framePr w:hSpace="141" w:wrap="around" w:vAnchor="page" w:hAnchor="margin" w:y="3861"/>
                    <w:jc w:val="both"/>
                    <w:rPr>
                      <w:rFonts w:ascii="Lato" w:hAnsi="Lato"/>
                      <w:sz w:val="18"/>
                      <w:szCs w:val="18"/>
                    </w:rPr>
                  </w:pPr>
                  <w:r w:rsidRPr="00E54B6E">
                    <w:rPr>
                      <w:rFonts w:ascii="Lato" w:hAnsi="Lato"/>
                      <w:sz w:val="18"/>
                      <w:szCs w:val="18"/>
                    </w:rPr>
                    <w:t xml:space="preserve">Uzasadnienie </w:t>
                  </w:r>
                </w:p>
                <w:p w14:paraId="200C26ED" w14:textId="77777777" w:rsidR="00DF44FD" w:rsidRPr="00E54B6E" w:rsidRDefault="00DF44FD" w:rsidP="00E2548E">
                  <w:pPr>
                    <w:framePr w:hSpace="141" w:wrap="around" w:vAnchor="page" w:hAnchor="margin" w:y="3861"/>
                    <w:jc w:val="both"/>
                    <w:rPr>
                      <w:rFonts w:ascii="Lato" w:hAnsi="Lato"/>
                      <w:sz w:val="18"/>
                      <w:szCs w:val="18"/>
                    </w:rPr>
                  </w:pPr>
                  <w:r w:rsidRPr="00E54B6E">
                    <w:rPr>
                      <w:rFonts w:ascii="Lato" w:hAnsi="Lato"/>
                      <w:sz w:val="18"/>
                      <w:szCs w:val="18"/>
                    </w:rPr>
                    <w:t>Akapit 4 zdanie drugie</w:t>
                  </w:r>
                </w:p>
                <w:p w14:paraId="0D3E1EE7" w14:textId="77777777" w:rsidR="00DF44FD" w:rsidRPr="00E54B6E" w:rsidRDefault="00DF44FD" w:rsidP="00E2548E">
                  <w:pPr>
                    <w:framePr w:hSpace="141" w:wrap="around" w:vAnchor="page" w:hAnchor="margin" w:y="3861"/>
                    <w:jc w:val="both"/>
                    <w:rPr>
                      <w:rFonts w:ascii="Lato" w:hAnsi="Lato"/>
                      <w:sz w:val="18"/>
                      <w:szCs w:val="18"/>
                    </w:rPr>
                  </w:pPr>
                  <w:r w:rsidRPr="00E54B6E">
                    <w:rPr>
                      <w:rFonts w:ascii="Lato" w:hAnsi="Lato"/>
                      <w:sz w:val="18"/>
                      <w:szCs w:val="18"/>
                    </w:rPr>
                    <w:t xml:space="preserve">Projekt zmiany rozporządzenia nowelizuje przepisy w ramach postanowień dyrektywy 2004/33/WE, która określa ogólne ramy w zakresie informacji udzielanych przyszłym krwiodawcom, informacji jakie muszą być uzyskane od krwiodawców oraz kryteria kwalifikacji dawców. </w:t>
                  </w:r>
                </w:p>
              </w:tc>
              <w:tc>
                <w:tcPr>
                  <w:tcW w:w="1250" w:type="pct"/>
                  <w:tcBorders>
                    <w:top w:val="single" w:sz="4" w:space="0" w:color="auto"/>
                    <w:left w:val="single" w:sz="4" w:space="0" w:color="auto"/>
                    <w:bottom w:val="single" w:sz="4" w:space="0" w:color="auto"/>
                    <w:right w:val="single" w:sz="4" w:space="0" w:color="auto"/>
                  </w:tcBorders>
                  <w:hideMark/>
                </w:tcPr>
                <w:p w14:paraId="23343E5D" w14:textId="77777777" w:rsidR="00DF44FD" w:rsidRPr="00E54B6E" w:rsidRDefault="00DF44FD" w:rsidP="00E2548E">
                  <w:pPr>
                    <w:framePr w:hSpace="141" w:wrap="around" w:vAnchor="page" w:hAnchor="margin" w:y="3861"/>
                    <w:jc w:val="both"/>
                    <w:rPr>
                      <w:rFonts w:ascii="Lato" w:hAnsi="Lato"/>
                      <w:sz w:val="18"/>
                      <w:szCs w:val="18"/>
                    </w:rPr>
                  </w:pPr>
                  <w:r w:rsidRPr="00E54B6E">
                    <w:rPr>
                      <w:rFonts w:ascii="Lato" w:hAnsi="Lato"/>
                      <w:sz w:val="18"/>
                      <w:szCs w:val="18"/>
                    </w:rPr>
                    <w:t xml:space="preserve">Projekt zmiany rozporządzenia nowelizuje przepisy </w:t>
                  </w:r>
                  <w:r w:rsidRPr="00E54B6E">
                    <w:rPr>
                      <w:rFonts w:ascii="Lato" w:hAnsi="Lato"/>
                      <w:sz w:val="18"/>
                      <w:szCs w:val="18"/>
                    </w:rPr>
                    <w:br/>
                    <w:t>w ramach postanowień dyrektywy 2004/33/WE, która określa miedzy innymi kryteria kwalifikacji dawców krwi.</w:t>
                  </w:r>
                </w:p>
              </w:tc>
              <w:tc>
                <w:tcPr>
                  <w:tcW w:w="1250" w:type="pct"/>
                  <w:tcBorders>
                    <w:top w:val="single" w:sz="4" w:space="0" w:color="auto"/>
                    <w:left w:val="single" w:sz="4" w:space="0" w:color="auto"/>
                    <w:bottom w:val="single" w:sz="4" w:space="0" w:color="auto"/>
                    <w:right w:val="single" w:sz="4" w:space="0" w:color="auto"/>
                  </w:tcBorders>
                  <w:hideMark/>
                </w:tcPr>
                <w:p w14:paraId="26494356" w14:textId="77777777" w:rsidR="00DF44FD" w:rsidRPr="00E54B6E" w:rsidRDefault="00DF44FD" w:rsidP="00E2548E">
                  <w:pPr>
                    <w:framePr w:hSpace="141" w:wrap="around" w:vAnchor="page" w:hAnchor="margin" w:y="3861"/>
                    <w:jc w:val="both"/>
                    <w:rPr>
                      <w:rFonts w:ascii="Lato" w:hAnsi="Lato"/>
                      <w:sz w:val="18"/>
                      <w:szCs w:val="18"/>
                    </w:rPr>
                  </w:pPr>
                  <w:r w:rsidRPr="00E54B6E">
                    <w:rPr>
                      <w:rFonts w:ascii="Lato" w:hAnsi="Lato"/>
                      <w:sz w:val="18"/>
                      <w:szCs w:val="18"/>
                    </w:rPr>
                    <w:t>Zwracanie uwagi na informacje udzielane dawcom krwi, czego wymaga dyrektywa 2004/33/WE jest niepotrzebne, bo projekt zmiany rozporządzenia w ogóle nie dotyczy tych informacji – załącznik nr 1 zmienianego rozporządzenia dotyczący zakresu informacji przekazywanych kandydatom na dawców krwi i dawcom krwi nie jest nowelizowany.</w:t>
                  </w:r>
                </w:p>
              </w:tc>
            </w:tr>
            <w:tr w:rsidR="00DF44FD" w:rsidRPr="00E54B6E" w14:paraId="5071B848" w14:textId="77777777" w:rsidTr="00F829FF">
              <w:tc>
                <w:tcPr>
                  <w:tcW w:w="1250" w:type="pct"/>
                  <w:tcBorders>
                    <w:top w:val="single" w:sz="4" w:space="0" w:color="auto"/>
                    <w:left w:val="single" w:sz="4" w:space="0" w:color="auto"/>
                    <w:bottom w:val="single" w:sz="4" w:space="0" w:color="auto"/>
                    <w:right w:val="single" w:sz="4" w:space="0" w:color="auto"/>
                  </w:tcBorders>
                  <w:hideMark/>
                </w:tcPr>
                <w:p w14:paraId="68715B6E" w14:textId="77777777" w:rsidR="00DF44FD" w:rsidRPr="00E54B6E" w:rsidRDefault="00DF44FD" w:rsidP="00E2548E">
                  <w:pPr>
                    <w:framePr w:hSpace="141" w:wrap="around" w:vAnchor="page" w:hAnchor="margin" w:y="3861"/>
                    <w:jc w:val="both"/>
                    <w:rPr>
                      <w:rFonts w:ascii="Lato" w:hAnsi="Lato"/>
                      <w:sz w:val="18"/>
                      <w:szCs w:val="18"/>
                    </w:rPr>
                  </w:pPr>
                  <w:r w:rsidRPr="00E54B6E">
                    <w:rPr>
                      <w:rFonts w:ascii="Lato" w:hAnsi="Lato"/>
                      <w:sz w:val="18"/>
                      <w:szCs w:val="18"/>
                    </w:rPr>
                    <w:t>9.</w:t>
                  </w:r>
                </w:p>
              </w:tc>
              <w:tc>
                <w:tcPr>
                  <w:tcW w:w="1250" w:type="pct"/>
                  <w:tcBorders>
                    <w:top w:val="single" w:sz="4" w:space="0" w:color="auto"/>
                    <w:left w:val="single" w:sz="4" w:space="0" w:color="auto"/>
                    <w:bottom w:val="single" w:sz="4" w:space="0" w:color="auto"/>
                    <w:right w:val="single" w:sz="4" w:space="0" w:color="auto"/>
                  </w:tcBorders>
                  <w:hideMark/>
                </w:tcPr>
                <w:p w14:paraId="5FCD6878" w14:textId="77777777" w:rsidR="00DF44FD" w:rsidRPr="00E54B6E" w:rsidRDefault="00DF44FD" w:rsidP="00E2548E">
                  <w:pPr>
                    <w:framePr w:hSpace="141" w:wrap="around" w:vAnchor="page" w:hAnchor="margin" w:y="3861"/>
                    <w:jc w:val="both"/>
                    <w:rPr>
                      <w:rFonts w:ascii="Lato" w:hAnsi="Lato"/>
                      <w:sz w:val="18"/>
                      <w:szCs w:val="18"/>
                    </w:rPr>
                  </w:pPr>
                  <w:r w:rsidRPr="00E54B6E">
                    <w:rPr>
                      <w:rFonts w:ascii="Lato" w:hAnsi="Lato"/>
                      <w:sz w:val="18"/>
                      <w:szCs w:val="18"/>
                    </w:rPr>
                    <w:t>Uzasadnienie</w:t>
                  </w:r>
                </w:p>
                <w:p w14:paraId="662DB7CE" w14:textId="77777777" w:rsidR="00DF44FD" w:rsidRPr="00E54B6E" w:rsidRDefault="00DF44FD" w:rsidP="00E2548E">
                  <w:pPr>
                    <w:framePr w:hSpace="141" w:wrap="around" w:vAnchor="page" w:hAnchor="margin" w:y="3861"/>
                    <w:jc w:val="both"/>
                    <w:rPr>
                      <w:rFonts w:ascii="Lato" w:hAnsi="Lato"/>
                      <w:sz w:val="18"/>
                      <w:szCs w:val="18"/>
                    </w:rPr>
                  </w:pPr>
                  <w:r w:rsidRPr="00E54B6E">
                    <w:rPr>
                      <w:rFonts w:ascii="Lato" w:hAnsi="Lato"/>
                      <w:sz w:val="18"/>
                      <w:szCs w:val="18"/>
                    </w:rPr>
                    <w:t>Akapit 5</w:t>
                  </w:r>
                </w:p>
                <w:p w14:paraId="02F14F7A" w14:textId="77777777" w:rsidR="00DF44FD" w:rsidRPr="00E54B6E" w:rsidRDefault="00DF44FD" w:rsidP="00E2548E">
                  <w:pPr>
                    <w:framePr w:hSpace="141" w:wrap="around" w:vAnchor="page" w:hAnchor="margin" w:y="3861"/>
                    <w:jc w:val="both"/>
                    <w:rPr>
                      <w:rFonts w:ascii="Lato" w:hAnsi="Lato"/>
                      <w:sz w:val="18"/>
                      <w:szCs w:val="18"/>
                    </w:rPr>
                  </w:pPr>
                  <w:r w:rsidRPr="00E54B6E">
                    <w:rPr>
                      <w:rFonts w:ascii="Lato" w:hAnsi="Lato"/>
                      <w:sz w:val="18"/>
                      <w:szCs w:val="18"/>
                    </w:rPr>
                    <w:t xml:space="preserve">Projekt rozporządzenia dokonuje m. in. zmian w zakresie: badań związanych z kwalifikacją dawców (zmiana wartości ciśnienia skurczowego, wartości </w:t>
                  </w:r>
                  <w:r w:rsidRPr="00E54B6E">
                    <w:rPr>
                      <w:rFonts w:ascii="Lato" w:hAnsi="Lato"/>
                      <w:sz w:val="18"/>
                      <w:szCs w:val="18"/>
                    </w:rPr>
                    <w:lastRenderedPageBreak/>
                    <w:t>referencyjnej leukocytów), kryteriów kwalifikacji stałej, które często były powodem zapytań dawców krwi i jej składników m. in. związane z cukrzycą, zaburzeniami psychicznymi, wstrząsem anafilaktycznym.</w:t>
                  </w:r>
                </w:p>
              </w:tc>
              <w:tc>
                <w:tcPr>
                  <w:tcW w:w="1250" w:type="pct"/>
                  <w:tcBorders>
                    <w:top w:val="single" w:sz="4" w:space="0" w:color="auto"/>
                    <w:left w:val="single" w:sz="4" w:space="0" w:color="auto"/>
                    <w:bottom w:val="single" w:sz="4" w:space="0" w:color="auto"/>
                    <w:right w:val="single" w:sz="4" w:space="0" w:color="auto"/>
                  </w:tcBorders>
                  <w:hideMark/>
                </w:tcPr>
                <w:p w14:paraId="7E82B589" w14:textId="77777777" w:rsidR="00DF44FD" w:rsidRPr="00E54B6E" w:rsidRDefault="00DF44FD" w:rsidP="00E2548E">
                  <w:pPr>
                    <w:framePr w:hSpace="141" w:wrap="around" w:vAnchor="page" w:hAnchor="margin" w:y="3861"/>
                    <w:jc w:val="both"/>
                    <w:rPr>
                      <w:rFonts w:ascii="Lato" w:hAnsi="Lato"/>
                      <w:sz w:val="18"/>
                      <w:szCs w:val="18"/>
                    </w:rPr>
                  </w:pPr>
                  <w:r w:rsidRPr="00E54B6E">
                    <w:rPr>
                      <w:rFonts w:ascii="Lato" w:hAnsi="Lato"/>
                      <w:sz w:val="18"/>
                      <w:szCs w:val="18"/>
                    </w:rPr>
                    <w:lastRenderedPageBreak/>
                    <w:t xml:space="preserve">Projekt rozporządzenia dokonuje m. in. zmian w zakresie: badań związanych z kwalifikacją dawców (zmiana wartości ciśnienia skurczowego, wartości referencyjnej leukocytów), kryteriów dyskwalifikacji stałej, które często były </w:t>
                  </w:r>
                  <w:r w:rsidRPr="00E54B6E">
                    <w:rPr>
                      <w:rFonts w:ascii="Lato" w:hAnsi="Lato"/>
                      <w:sz w:val="18"/>
                      <w:szCs w:val="18"/>
                    </w:rPr>
                    <w:lastRenderedPageBreak/>
                    <w:t>powodem zapytań dawców krwi i jej składników m. in. związane z cukrzycą, zaburzeniami psychicznymi, wstrząsem anafilaktycznym.</w:t>
                  </w:r>
                </w:p>
              </w:tc>
              <w:tc>
                <w:tcPr>
                  <w:tcW w:w="1250" w:type="pct"/>
                  <w:tcBorders>
                    <w:top w:val="single" w:sz="4" w:space="0" w:color="auto"/>
                    <w:left w:val="single" w:sz="4" w:space="0" w:color="auto"/>
                    <w:bottom w:val="single" w:sz="4" w:space="0" w:color="auto"/>
                    <w:right w:val="single" w:sz="4" w:space="0" w:color="auto"/>
                  </w:tcBorders>
                  <w:hideMark/>
                </w:tcPr>
                <w:p w14:paraId="777B4E24" w14:textId="77777777" w:rsidR="00DF44FD" w:rsidRPr="00E54B6E" w:rsidRDefault="00DF44FD" w:rsidP="00E2548E">
                  <w:pPr>
                    <w:framePr w:hSpace="141" w:wrap="around" w:vAnchor="page" w:hAnchor="margin" w:y="3861"/>
                    <w:jc w:val="both"/>
                    <w:rPr>
                      <w:rFonts w:ascii="Lato" w:hAnsi="Lato"/>
                      <w:sz w:val="18"/>
                      <w:szCs w:val="18"/>
                    </w:rPr>
                  </w:pPr>
                  <w:r w:rsidRPr="00E54B6E">
                    <w:rPr>
                      <w:rFonts w:ascii="Lato" w:hAnsi="Lato"/>
                      <w:sz w:val="18"/>
                      <w:szCs w:val="18"/>
                    </w:rPr>
                    <w:lastRenderedPageBreak/>
                    <w:t>W uzasadnieniu omyłkowo wskazano na kryteria kwalifikacji stałej mimo że chodzi o dyskwalifikację stałą.</w:t>
                  </w:r>
                </w:p>
              </w:tc>
            </w:tr>
          </w:tbl>
          <w:p w14:paraId="35B79014" w14:textId="77777777" w:rsidR="00DF44FD" w:rsidRPr="00E54B6E" w:rsidRDefault="00DF44FD" w:rsidP="00DF44FD">
            <w:pPr>
              <w:jc w:val="both"/>
              <w:rPr>
                <w:rFonts w:ascii="Lato" w:hAnsi="Lato"/>
                <w:sz w:val="18"/>
                <w:szCs w:val="18"/>
              </w:rPr>
            </w:pPr>
          </w:p>
          <w:p w14:paraId="5E1F14A6" w14:textId="77777777" w:rsidR="00DF44FD" w:rsidRPr="00E54B6E" w:rsidRDefault="00DF44FD" w:rsidP="00DF44FD">
            <w:pPr>
              <w:jc w:val="both"/>
              <w:rPr>
                <w:rFonts w:ascii="Lato" w:hAnsi="Lato"/>
                <w:sz w:val="18"/>
                <w:szCs w:val="18"/>
              </w:rPr>
            </w:pPr>
          </w:p>
          <w:p w14:paraId="696805C9" w14:textId="77777777" w:rsidR="00DF44FD" w:rsidRPr="00E54B6E" w:rsidRDefault="00DF44FD" w:rsidP="00DF44FD">
            <w:pPr>
              <w:pStyle w:val="Akapitzlist"/>
              <w:suppressAutoHyphens/>
              <w:spacing w:after="160" w:line="256" w:lineRule="auto"/>
              <w:rPr>
                <w:rFonts w:ascii="Lato" w:hAnsi="Lato"/>
                <w:sz w:val="18"/>
                <w:szCs w:val="18"/>
              </w:rPr>
            </w:pPr>
          </w:p>
        </w:tc>
        <w:tc>
          <w:tcPr>
            <w:tcW w:w="3236" w:type="dxa"/>
            <w:tcBorders>
              <w:top w:val="single" w:sz="4" w:space="0" w:color="auto"/>
              <w:left w:val="single" w:sz="4" w:space="0" w:color="auto"/>
              <w:bottom w:val="single" w:sz="4" w:space="0" w:color="auto"/>
              <w:right w:val="single" w:sz="4" w:space="0" w:color="auto"/>
            </w:tcBorders>
          </w:tcPr>
          <w:p w14:paraId="56B2D5EC" w14:textId="77777777" w:rsidR="00DF44FD" w:rsidRPr="00E54B6E" w:rsidRDefault="00DF44FD" w:rsidP="00DF44FD">
            <w:pPr>
              <w:spacing w:line="240" w:lineRule="auto"/>
              <w:rPr>
                <w:rFonts w:ascii="Lato" w:hAnsi="Lato" w:cs="Arial"/>
                <w:sz w:val="18"/>
                <w:szCs w:val="18"/>
              </w:rPr>
            </w:pPr>
            <w:r w:rsidRPr="00E54B6E">
              <w:rPr>
                <w:rFonts w:ascii="Lato" w:hAnsi="Lato" w:cs="Arial"/>
                <w:sz w:val="18"/>
                <w:szCs w:val="18"/>
              </w:rPr>
              <w:lastRenderedPageBreak/>
              <w:t>Uwagi odnośnie konsekwencji liberalizacji przeciwwskazań do pobrania krwi i poszerzenia grupy dawców:</w:t>
            </w:r>
          </w:p>
          <w:p w14:paraId="25C599C6" w14:textId="77777777" w:rsidR="00DF44FD" w:rsidRPr="00E54B6E" w:rsidRDefault="00DF44FD" w:rsidP="00DF44FD">
            <w:pPr>
              <w:spacing w:after="160" w:line="240" w:lineRule="auto"/>
              <w:rPr>
                <w:rFonts w:ascii="Lato" w:hAnsi="Lato" w:cs="Arial"/>
                <w:sz w:val="18"/>
                <w:szCs w:val="18"/>
              </w:rPr>
            </w:pPr>
            <w:r w:rsidRPr="00E54B6E">
              <w:rPr>
                <w:rFonts w:ascii="Lato" w:hAnsi="Lato" w:cs="Arial"/>
                <w:sz w:val="18"/>
                <w:szCs w:val="18"/>
              </w:rPr>
              <w:t>Rozporządzenie miało dotychczas w niektórych aspektach  charakter bardziej rygorystyczny, niż zapisy Dyrektywy i Guide* (dotyczy to np. zapisu dotyczącego możliwości oddawania krwi przez osoby z cukrzycą)- ich złagodzenie wydaje się zatem uzasadnione.</w:t>
            </w:r>
          </w:p>
          <w:p w14:paraId="28A90F02" w14:textId="77777777" w:rsidR="00DF44FD" w:rsidRPr="00E54B6E" w:rsidRDefault="00DF44FD" w:rsidP="00DF44FD">
            <w:pPr>
              <w:spacing w:after="160" w:line="240" w:lineRule="auto"/>
              <w:rPr>
                <w:rFonts w:ascii="Lato" w:hAnsi="Lato" w:cs="Arial"/>
                <w:sz w:val="18"/>
                <w:szCs w:val="18"/>
              </w:rPr>
            </w:pPr>
            <w:r w:rsidRPr="00E54B6E">
              <w:rPr>
                <w:rFonts w:ascii="Lato" w:hAnsi="Lato" w:cs="Arial"/>
                <w:sz w:val="18"/>
                <w:szCs w:val="18"/>
              </w:rPr>
              <w:t>Nie wszystkie proponowane zapisy Rozporządzenia wiążą się z liberalizacją zaleceń, niektóre z nich mają nawet charakter bardziej rygorystyczny, niż  dotychczas obowiązujące (np. zapis dotyczący dopuszczalnych wartości ciśnienia tętniczego); może to dotyczyć dużej liczby potencjalnych dawców – wg niedawnej oceny NFZ, około 10 mln dorosłych Polaków cierpi na nadciśnienie tętnicze.</w:t>
            </w:r>
          </w:p>
          <w:p w14:paraId="78B17D8A" w14:textId="77777777" w:rsidR="00DF44FD" w:rsidRPr="00E54B6E" w:rsidRDefault="00DF44FD" w:rsidP="00DF44FD">
            <w:pPr>
              <w:spacing w:after="160" w:line="240" w:lineRule="auto"/>
              <w:rPr>
                <w:rFonts w:ascii="Lato" w:hAnsi="Lato" w:cs="Arial"/>
                <w:sz w:val="18"/>
                <w:szCs w:val="18"/>
              </w:rPr>
            </w:pPr>
            <w:r w:rsidRPr="00E54B6E">
              <w:rPr>
                <w:rFonts w:ascii="Lato" w:hAnsi="Lato" w:cs="Arial"/>
                <w:sz w:val="18"/>
                <w:szCs w:val="18"/>
              </w:rPr>
              <w:t xml:space="preserve">Ostateczna decyzja odnośnie możliwości oddawania krwi ma w każdym przypadku charakter indywidualny i zależy od oceny sytuacji przez osobę kwalifikującą; w niektórych przypadkach konieczne </w:t>
            </w:r>
            <w:r w:rsidRPr="00E54B6E">
              <w:rPr>
                <w:rFonts w:ascii="Lato" w:hAnsi="Lato" w:cs="Arial"/>
                <w:sz w:val="18"/>
                <w:szCs w:val="18"/>
              </w:rPr>
              <w:lastRenderedPageBreak/>
              <w:t>może być zasięgnięcie dodatkowej opinii lekarza specjalisty.</w:t>
            </w:r>
          </w:p>
          <w:p w14:paraId="4C2A11B7" w14:textId="77777777" w:rsidR="00DF44FD" w:rsidRPr="00E54B6E" w:rsidRDefault="00DF44FD" w:rsidP="00DF44FD">
            <w:pPr>
              <w:spacing w:line="240" w:lineRule="auto"/>
              <w:rPr>
                <w:rFonts w:ascii="Lato" w:hAnsi="Lato" w:cs="Arial"/>
                <w:sz w:val="18"/>
                <w:szCs w:val="18"/>
              </w:rPr>
            </w:pPr>
            <w:r w:rsidRPr="00E54B6E">
              <w:rPr>
                <w:rFonts w:ascii="Lato" w:hAnsi="Lato" w:cs="Arial"/>
                <w:sz w:val="18"/>
                <w:szCs w:val="18"/>
              </w:rPr>
              <w:t xml:space="preserve">Jak wynika z powyższego, złagodzenie niektórych zapisów Rozporządzenia nie przekłada się w sposób automatyczny na zmniejszenie dbałości o zdrowie dawców i biorców krwi; trudno również ocenić wpływ proponowanych zmian w Rozporządzeniu na liczbę potencjalnych dawców, gdyż wynika ona z wielu trudnych do przewidzenia czynników (np. sytuacja epidemiczna, brak okazji do oddawania krwi przez niektóre osoby czy względy ekonomiczne). </w:t>
            </w:r>
          </w:p>
          <w:p w14:paraId="04F6799E" w14:textId="77777777" w:rsidR="00DF44FD" w:rsidRPr="00E54B6E" w:rsidRDefault="00DF44FD" w:rsidP="00DF44FD">
            <w:pPr>
              <w:spacing w:line="240" w:lineRule="auto"/>
              <w:rPr>
                <w:rFonts w:ascii="Lato" w:hAnsi="Lato" w:cs="Arial"/>
                <w:sz w:val="18"/>
                <w:szCs w:val="18"/>
              </w:rPr>
            </w:pPr>
            <w:r w:rsidRPr="00E54B6E">
              <w:rPr>
                <w:rFonts w:ascii="Lato" w:hAnsi="Lato" w:cs="Arial"/>
                <w:sz w:val="18"/>
                <w:szCs w:val="18"/>
              </w:rPr>
              <w:t>Warto również zauważyć, że najczęstszą przyczyną dyskwalifikacji krwiodawców na terenie Polski jest od lat obniżone stężenie hemoglobiny – projekt zmian w Rozporządzeniu nie zawiera zapisów dotyczących tego zagadnienia (aktualne odpowiadają zapisom Dyrektywy).</w:t>
            </w:r>
          </w:p>
          <w:p w14:paraId="7EA45798" w14:textId="77777777" w:rsidR="00DF44FD" w:rsidRPr="00E54B6E" w:rsidRDefault="00DF44FD" w:rsidP="00DF44FD">
            <w:pPr>
              <w:spacing w:line="240" w:lineRule="auto"/>
              <w:rPr>
                <w:rFonts w:ascii="Lato" w:hAnsi="Lato" w:cs="Arial"/>
                <w:i/>
                <w:iCs/>
                <w:sz w:val="18"/>
                <w:szCs w:val="18"/>
              </w:rPr>
            </w:pPr>
            <w:r w:rsidRPr="00E54B6E">
              <w:rPr>
                <w:rFonts w:ascii="Lato" w:hAnsi="Lato" w:cs="Arial"/>
                <w:i/>
                <w:iCs/>
                <w:sz w:val="18"/>
                <w:szCs w:val="18"/>
              </w:rPr>
              <w:t>*Dyrektywa Komisji 2004/33/WE z dnia 22 marca 2004 r. wykonująca dyrektywę 2002/98/WE Parlamentu Europejskiego i Rady w zakresie niektórych wymagań technicznych dotyczących krwi i składników krwi.</w:t>
            </w:r>
          </w:p>
          <w:p w14:paraId="01C16114" w14:textId="77777777" w:rsidR="00DF44FD" w:rsidRPr="00E54B6E" w:rsidRDefault="00DF44FD" w:rsidP="00DF44FD">
            <w:pPr>
              <w:spacing w:line="240" w:lineRule="auto"/>
              <w:contextualSpacing/>
              <w:rPr>
                <w:rFonts w:ascii="Lato" w:hAnsi="Lato" w:cs="Arial"/>
                <w:i/>
                <w:iCs/>
                <w:sz w:val="18"/>
                <w:szCs w:val="18"/>
                <w:lang w:val="en-GB"/>
              </w:rPr>
            </w:pPr>
            <w:r w:rsidRPr="00E54B6E">
              <w:rPr>
                <w:rFonts w:ascii="Lato" w:hAnsi="Lato" w:cs="Arial"/>
                <w:i/>
                <w:iCs/>
                <w:sz w:val="18"/>
                <w:szCs w:val="18"/>
                <w:lang w:val="en-GB"/>
              </w:rPr>
              <w:t>European Directorate for the Quality of Medicines and HealthCare (EDQM): Guide to the preparation, use and quality assurance of blood components, Recommendation No. R (95) 15, 21th Edition, 2023.</w:t>
            </w:r>
          </w:p>
          <w:p w14:paraId="72B5DD4E" w14:textId="77777777" w:rsidR="00DF44FD" w:rsidRPr="00E54B6E" w:rsidRDefault="00DF44FD" w:rsidP="00DF44FD">
            <w:pPr>
              <w:spacing w:line="240" w:lineRule="auto"/>
              <w:contextualSpacing/>
              <w:rPr>
                <w:rFonts w:ascii="Lato" w:hAnsi="Lato" w:cs="Arial"/>
                <w:i/>
                <w:iCs/>
                <w:sz w:val="18"/>
                <w:szCs w:val="18"/>
                <w:lang w:val="en-GB"/>
              </w:rPr>
            </w:pPr>
          </w:p>
          <w:p w14:paraId="45F7FD83" w14:textId="77777777" w:rsidR="00DF44FD" w:rsidRPr="00E54B6E" w:rsidRDefault="00DF44FD" w:rsidP="00DF44FD">
            <w:pPr>
              <w:spacing w:line="240" w:lineRule="auto"/>
              <w:rPr>
                <w:rFonts w:ascii="Lato" w:hAnsi="Lato" w:cs="Arial"/>
                <w:sz w:val="18"/>
                <w:szCs w:val="18"/>
                <w:lang w:eastAsia="pl-PL"/>
              </w:rPr>
            </w:pPr>
            <w:r w:rsidRPr="00E54B6E">
              <w:rPr>
                <w:rFonts w:ascii="Lato" w:hAnsi="Lato" w:cs="Arial"/>
                <w:sz w:val="18"/>
                <w:szCs w:val="18"/>
              </w:rPr>
              <w:lastRenderedPageBreak/>
              <w:t>Zmiany wprowadzane w projektowanym rozporządzeniu nie mają na celu złagodzenia kryteriów dyskwalifikacji dawców w celu pozyskania ich większej liczby.</w:t>
            </w:r>
          </w:p>
          <w:p w14:paraId="55C56507" w14:textId="77777777" w:rsidR="00DF44FD" w:rsidRPr="00E54B6E" w:rsidRDefault="00DF44FD" w:rsidP="00DF44FD">
            <w:pPr>
              <w:spacing w:line="240" w:lineRule="auto"/>
              <w:rPr>
                <w:rFonts w:ascii="Lato" w:hAnsi="Lato" w:cs="Arial"/>
                <w:sz w:val="18"/>
                <w:szCs w:val="18"/>
              </w:rPr>
            </w:pPr>
            <w:r w:rsidRPr="00E54B6E">
              <w:rPr>
                <w:rFonts w:ascii="Lato" w:hAnsi="Lato" w:cs="Arial"/>
                <w:sz w:val="18"/>
                <w:szCs w:val="18"/>
              </w:rPr>
              <w:t>Ich wprowadzenie uzasadnia potrzeba:</w:t>
            </w:r>
          </w:p>
          <w:p w14:paraId="10C1A09A" w14:textId="77777777" w:rsidR="00DF44FD" w:rsidRPr="00E54B6E" w:rsidRDefault="00DF44FD" w:rsidP="00DF44FD">
            <w:pPr>
              <w:spacing w:line="240" w:lineRule="auto"/>
              <w:rPr>
                <w:rFonts w:ascii="Lato" w:hAnsi="Lato" w:cs="Arial"/>
                <w:sz w:val="18"/>
                <w:szCs w:val="18"/>
              </w:rPr>
            </w:pPr>
            <w:r w:rsidRPr="00E54B6E">
              <w:rPr>
                <w:rFonts w:ascii="Lato" w:hAnsi="Lato" w:cs="Arial"/>
                <w:sz w:val="18"/>
                <w:szCs w:val="18"/>
              </w:rPr>
              <w:t xml:space="preserve">1. zwiększenia bezpieczeństwa: </w:t>
            </w:r>
          </w:p>
          <w:p w14:paraId="6F3AEC5D" w14:textId="77777777" w:rsidR="00DF44FD" w:rsidRPr="00E54B6E" w:rsidRDefault="00DF44FD" w:rsidP="00DF44FD">
            <w:pPr>
              <w:spacing w:line="240" w:lineRule="auto"/>
              <w:rPr>
                <w:rFonts w:ascii="Lato" w:hAnsi="Lato" w:cs="Arial"/>
                <w:sz w:val="18"/>
                <w:szCs w:val="18"/>
              </w:rPr>
            </w:pPr>
            <w:r w:rsidRPr="00E54B6E">
              <w:rPr>
                <w:rFonts w:ascii="Lato" w:hAnsi="Lato" w:cs="Arial"/>
                <w:sz w:val="18"/>
                <w:szCs w:val="18"/>
              </w:rPr>
              <w:t xml:space="preserve">- dawcy (zmiana w załączniku nr 1 , p.17; załącznik nr 2, lp.20) oraz </w:t>
            </w:r>
          </w:p>
          <w:p w14:paraId="428AA35F" w14:textId="77777777" w:rsidR="00DF44FD" w:rsidRPr="00E54B6E" w:rsidRDefault="00DF44FD" w:rsidP="00DF44FD">
            <w:pPr>
              <w:spacing w:line="240" w:lineRule="auto"/>
              <w:rPr>
                <w:rFonts w:ascii="Lato" w:hAnsi="Lato" w:cs="Arial"/>
                <w:sz w:val="18"/>
                <w:szCs w:val="18"/>
              </w:rPr>
            </w:pPr>
            <w:r w:rsidRPr="00E54B6E">
              <w:rPr>
                <w:rFonts w:ascii="Lato" w:hAnsi="Lato" w:cs="Arial"/>
                <w:sz w:val="18"/>
                <w:szCs w:val="18"/>
              </w:rPr>
              <w:t>- biorcy (załącznik nr 2, lp.9, pp.1))</w:t>
            </w:r>
          </w:p>
          <w:p w14:paraId="5BAA4974" w14:textId="77777777" w:rsidR="00DF44FD" w:rsidRPr="00E54B6E" w:rsidRDefault="00DF44FD" w:rsidP="00DF44FD">
            <w:pPr>
              <w:spacing w:line="240" w:lineRule="auto"/>
              <w:rPr>
                <w:rFonts w:ascii="Lato" w:hAnsi="Lato" w:cs="Arial"/>
                <w:sz w:val="18"/>
                <w:szCs w:val="18"/>
              </w:rPr>
            </w:pPr>
            <w:r w:rsidRPr="00E54B6E">
              <w:rPr>
                <w:rFonts w:ascii="Lato" w:hAnsi="Lato" w:cs="Arial"/>
                <w:sz w:val="18"/>
                <w:szCs w:val="18"/>
              </w:rPr>
              <w:t>2. dostosowanie kryteriów i okresów dyskwalifikacji do coraz lepszych metod diagnostycznych stosownych w służbie krwi oraz opublikowanych dowodów medycznych przedstawiających ocenę ryzyka (zmiana w załączniku nr 2, p.2.1 lp.13, lp.22; p.2.2.1 lp.14; p.2.2.4. lp2, lp. 4, lp.13, lp.15).</w:t>
            </w:r>
          </w:p>
          <w:p w14:paraId="2ED0CE18" w14:textId="77777777" w:rsidR="00DF44FD" w:rsidRPr="00E54B6E" w:rsidRDefault="00DF44FD" w:rsidP="00DF44FD">
            <w:pPr>
              <w:spacing w:line="240" w:lineRule="auto"/>
              <w:contextualSpacing/>
              <w:rPr>
                <w:rFonts w:ascii="Lato" w:hAnsi="Lato" w:cs="Arial"/>
                <w:sz w:val="18"/>
                <w:szCs w:val="18"/>
              </w:rPr>
            </w:pPr>
          </w:p>
          <w:p w14:paraId="1B7F383A" w14:textId="77777777" w:rsidR="00DF44FD" w:rsidRPr="00E54B6E" w:rsidRDefault="00DF44FD" w:rsidP="00DF44FD">
            <w:pPr>
              <w:spacing w:line="240" w:lineRule="auto"/>
              <w:contextualSpacing/>
              <w:rPr>
                <w:rFonts w:ascii="Lato" w:hAnsi="Lato" w:cs="Arial"/>
                <w:sz w:val="18"/>
                <w:szCs w:val="18"/>
              </w:rPr>
            </w:pPr>
          </w:p>
          <w:p w14:paraId="7A9CC3D0" w14:textId="77777777" w:rsidR="00DF44FD" w:rsidRPr="00E54B6E" w:rsidRDefault="00DF44FD" w:rsidP="00DF44FD">
            <w:pPr>
              <w:spacing w:line="240" w:lineRule="auto"/>
              <w:contextualSpacing/>
              <w:rPr>
                <w:rFonts w:ascii="Lato" w:hAnsi="Lato" w:cs="Arial"/>
                <w:sz w:val="18"/>
                <w:szCs w:val="18"/>
              </w:rPr>
            </w:pPr>
          </w:p>
          <w:p w14:paraId="6B10EBFC" w14:textId="77777777" w:rsidR="00DF44FD" w:rsidRPr="00E54B6E" w:rsidRDefault="00DF44FD" w:rsidP="00DF44FD">
            <w:pPr>
              <w:spacing w:line="240" w:lineRule="auto"/>
              <w:contextualSpacing/>
              <w:rPr>
                <w:rFonts w:ascii="Lato" w:hAnsi="Lato" w:cs="Arial"/>
                <w:sz w:val="18"/>
                <w:szCs w:val="18"/>
              </w:rPr>
            </w:pPr>
            <w:r w:rsidRPr="00E54B6E">
              <w:rPr>
                <w:rFonts w:ascii="Lato" w:hAnsi="Lato" w:cs="Arial"/>
                <w:sz w:val="18"/>
                <w:szCs w:val="18"/>
              </w:rPr>
              <w:t>Ad. 1 Uwaga zasadna</w:t>
            </w:r>
          </w:p>
          <w:p w14:paraId="033A1245" w14:textId="77777777" w:rsidR="00DF44FD" w:rsidRPr="00E54B6E" w:rsidRDefault="00DF44FD" w:rsidP="00DF44FD">
            <w:pPr>
              <w:spacing w:line="240" w:lineRule="auto"/>
              <w:contextualSpacing/>
              <w:rPr>
                <w:rFonts w:ascii="Lato" w:hAnsi="Lato" w:cs="Arial"/>
                <w:sz w:val="18"/>
                <w:szCs w:val="18"/>
              </w:rPr>
            </w:pPr>
            <w:r w:rsidRPr="00E54B6E">
              <w:rPr>
                <w:rFonts w:ascii="Lato" w:hAnsi="Lato" w:cs="Arial"/>
                <w:sz w:val="18"/>
                <w:szCs w:val="18"/>
              </w:rPr>
              <w:t>uwzględniono</w:t>
            </w:r>
          </w:p>
          <w:p w14:paraId="65DB8DF2" w14:textId="77777777" w:rsidR="00DF44FD" w:rsidRPr="00E54B6E" w:rsidRDefault="00DF44FD" w:rsidP="00DF44FD">
            <w:pPr>
              <w:spacing w:line="240" w:lineRule="auto"/>
              <w:contextualSpacing/>
              <w:rPr>
                <w:rFonts w:ascii="Lato" w:hAnsi="Lato" w:cs="Arial"/>
                <w:sz w:val="18"/>
                <w:szCs w:val="18"/>
              </w:rPr>
            </w:pPr>
          </w:p>
          <w:p w14:paraId="32E1758D" w14:textId="77777777" w:rsidR="00DF44FD" w:rsidRPr="00E54B6E" w:rsidRDefault="00DF44FD" w:rsidP="00DF44FD">
            <w:pPr>
              <w:spacing w:line="240" w:lineRule="auto"/>
              <w:contextualSpacing/>
              <w:rPr>
                <w:rFonts w:ascii="Lato" w:hAnsi="Lato" w:cs="Arial"/>
                <w:sz w:val="18"/>
                <w:szCs w:val="18"/>
              </w:rPr>
            </w:pPr>
          </w:p>
          <w:p w14:paraId="0E677DA3" w14:textId="77777777" w:rsidR="00DF44FD" w:rsidRPr="00E54B6E" w:rsidRDefault="00DF44FD" w:rsidP="00DF44FD">
            <w:pPr>
              <w:spacing w:line="240" w:lineRule="auto"/>
              <w:contextualSpacing/>
              <w:rPr>
                <w:rFonts w:ascii="Lato" w:hAnsi="Lato" w:cs="Arial"/>
                <w:sz w:val="18"/>
                <w:szCs w:val="18"/>
              </w:rPr>
            </w:pPr>
          </w:p>
          <w:p w14:paraId="334BA0C5" w14:textId="77777777" w:rsidR="00DF44FD" w:rsidRPr="00E54B6E" w:rsidRDefault="00DF44FD" w:rsidP="00DF44FD">
            <w:pPr>
              <w:spacing w:line="240" w:lineRule="auto"/>
              <w:contextualSpacing/>
              <w:rPr>
                <w:rFonts w:ascii="Lato" w:hAnsi="Lato" w:cs="Arial"/>
                <w:sz w:val="18"/>
                <w:szCs w:val="18"/>
              </w:rPr>
            </w:pPr>
          </w:p>
          <w:p w14:paraId="77637523" w14:textId="77777777" w:rsidR="00DF44FD" w:rsidRPr="00E54B6E" w:rsidRDefault="00DF44FD" w:rsidP="00DF44FD">
            <w:pPr>
              <w:spacing w:line="240" w:lineRule="auto"/>
              <w:contextualSpacing/>
              <w:rPr>
                <w:rFonts w:ascii="Lato" w:hAnsi="Lato" w:cs="Arial"/>
                <w:sz w:val="18"/>
                <w:szCs w:val="18"/>
              </w:rPr>
            </w:pPr>
          </w:p>
          <w:p w14:paraId="3D91BC2C" w14:textId="77777777" w:rsidR="00DF44FD" w:rsidRPr="00E54B6E" w:rsidRDefault="00DF44FD" w:rsidP="00DF44FD">
            <w:pPr>
              <w:spacing w:line="240" w:lineRule="auto"/>
              <w:contextualSpacing/>
              <w:rPr>
                <w:rFonts w:ascii="Lato" w:hAnsi="Lato" w:cs="Arial"/>
                <w:sz w:val="18"/>
                <w:szCs w:val="18"/>
              </w:rPr>
            </w:pPr>
          </w:p>
          <w:p w14:paraId="1AECB296" w14:textId="77777777" w:rsidR="00DF44FD" w:rsidRPr="00E54B6E" w:rsidRDefault="00DF44FD" w:rsidP="00DF44FD">
            <w:pPr>
              <w:spacing w:line="240" w:lineRule="auto"/>
              <w:contextualSpacing/>
              <w:rPr>
                <w:rFonts w:ascii="Lato" w:hAnsi="Lato" w:cs="Arial"/>
                <w:sz w:val="18"/>
                <w:szCs w:val="18"/>
              </w:rPr>
            </w:pPr>
          </w:p>
          <w:p w14:paraId="058BECBA" w14:textId="77777777" w:rsidR="00DF44FD" w:rsidRPr="00E54B6E" w:rsidRDefault="00DF44FD" w:rsidP="00DF44FD">
            <w:pPr>
              <w:spacing w:line="240" w:lineRule="auto"/>
              <w:contextualSpacing/>
              <w:rPr>
                <w:rFonts w:ascii="Lato" w:hAnsi="Lato" w:cs="Arial"/>
                <w:sz w:val="18"/>
                <w:szCs w:val="18"/>
              </w:rPr>
            </w:pPr>
          </w:p>
          <w:p w14:paraId="640552F1" w14:textId="77777777" w:rsidR="00DF44FD" w:rsidRPr="00E54B6E" w:rsidRDefault="00DF44FD" w:rsidP="00DF44FD">
            <w:pPr>
              <w:spacing w:line="240" w:lineRule="auto"/>
              <w:contextualSpacing/>
              <w:rPr>
                <w:rFonts w:ascii="Lato" w:hAnsi="Lato" w:cs="Arial"/>
                <w:sz w:val="18"/>
                <w:szCs w:val="18"/>
              </w:rPr>
            </w:pPr>
          </w:p>
          <w:p w14:paraId="3B4BCA4F" w14:textId="77777777" w:rsidR="00DF44FD" w:rsidRPr="00E54B6E" w:rsidRDefault="00DF44FD" w:rsidP="00DF44FD">
            <w:pPr>
              <w:spacing w:line="240" w:lineRule="auto"/>
              <w:contextualSpacing/>
              <w:rPr>
                <w:rFonts w:ascii="Lato" w:hAnsi="Lato" w:cs="Arial"/>
                <w:sz w:val="18"/>
                <w:szCs w:val="18"/>
              </w:rPr>
            </w:pPr>
          </w:p>
          <w:p w14:paraId="659CFB9C" w14:textId="77777777" w:rsidR="00DF44FD" w:rsidRPr="00E54B6E" w:rsidRDefault="00DF44FD" w:rsidP="00DF44FD">
            <w:pPr>
              <w:spacing w:line="240" w:lineRule="auto"/>
              <w:contextualSpacing/>
              <w:rPr>
                <w:rFonts w:ascii="Lato" w:hAnsi="Lato" w:cs="Arial"/>
                <w:sz w:val="18"/>
                <w:szCs w:val="18"/>
              </w:rPr>
            </w:pPr>
          </w:p>
          <w:p w14:paraId="526D7161" w14:textId="77777777" w:rsidR="00DF44FD" w:rsidRPr="00E54B6E" w:rsidRDefault="00DF44FD" w:rsidP="00DF44FD">
            <w:pPr>
              <w:spacing w:line="240" w:lineRule="auto"/>
              <w:contextualSpacing/>
              <w:rPr>
                <w:rFonts w:ascii="Lato" w:hAnsi="Lato" w:cs="Arial"/>
                <w:sz w:val="18"/>
                <w:szCs w:val="18"/>
              </w:rPr>
            </w:pPr>
            <w:r w:rsidRPr="00E54B6E">
              <w:rPr>
                <w:rFonts w:ascii="Lato" w:hAnsi="Lato" w:cs="Arial"/>
                <w:sz w:val="18"/>
                <w:szCs w:val="18"/>
              </w:rPr>
              <w:t>Ad. 2 Uwaga zasadna</w:t>
            </w:r>
          </w:p>
          <w:p w14:paraId="4BA36AAF" w14:textId="77777777" w:rsidR="00DF44FD" w:rsidRPr="00E54B6E" w:rsidRDefault="00DF44FD" w:rsidP="00DF44FD">
            <w:pPr>
              <w:spacing w:line="240" w:lineRule="auto"/>
              <w:contextualSpacing/>
              <w:rPr>
                <w:rFonts w:ascii="Lato" w:hAnsi="Lato" w:cs="Arial"/>
                <w:sz w:val="18"/>
                <w:szCs w:val="18"/>
              </w:rPr>
            </w:pPr>
            <w:r w:rsidRPr="00E54B6E">
              <w:rPr>
                <w:rFonts w:ascii="Lato" w:hAnsi="Lato" w:cs="Arial"/>
                <w:sz w:val="18"/>
                <w:szCs w:val="18"/>
              </w:rPr>
              <w:t>Uwzględniono</w:t>
            </w:r>
          </w:p>
          <w:p w14:paraId="57408A3F" w14:textId="77777777" w:rsidR="00DF44FD" w:rsidRPr="00E54B6E" w:rsidRDefault="00DF44FD" w:rsidP="00DF44FD">
            <w:pPr>
              <w:spacing w:line="240" w:lineRule="auto"/>
              <w:contextualSpacing/>
              <w:rPr>
                <w:rFonts w:ascii="Lato" w:hAnsi="Lato" w:cs="Arial"/>
                <w:sz w:val="18"/>
                <w:szCs w:val="18"/>
              </w:rPr>
            </w:pPr>
          </w:p>
          <w:p w14:paraId="62048873" w14:textId="77777777" w:rsidR="00DF44FD" w:rsidRPr="00E54B6E" w:rsidRDefault="00DF44FD" w:rsidP="00DF44FD">
            <w:pPr>
              <w:spacing w:line="240" w:lineRule="auto"/>
              <w:contextualSpacing/>
              <w:rPr>
                <w:rFonts w:ascii="Lato" w:hAnsi="Lato" w:cs="Arial"/>
                <w:sz w:val="18"/>
                <w:szCs w:val="18"/>
              </w:rPr>
            </w:pPr>
          </w:p>
          <w:p w14:paraId="62F37D64" w14:textId="77777777" w:rsidR="00DF44FD" w:rsidRPr="00E54B6E" w:rsidRDefault="00DF44FD" w:rsidP="00DF44FD">
            <w:pPr>
              <w:spacing w:line="240" w:lineRule="auto"/>
              <w:contextualSpacing/>
              <w:rPr>
                <w:rFonts w:ascii="Lato" w:hAnsi="Lato" w:cs="Arial"/>
                <w:sz w:val="18"/>
                <w:szCs w:val="18"/>
              </w:rPr>
            </w:pPr>
          </w:p>
          <w:p w14:paraId="321E4876" w14:textId="77777777" w:rsidR="00DF44FD" w:rsidRPr="00E54B6E" w:rsidRDefault="00DF44FD" w:rsidP="00DF44FD">
            <w:pPr>
              <w:spacing w:line="240" w:lineRule="auto"/>
              <w:contextualSpacing/>
              <w:rPr>
                <w:rFonts w:ascii="Lato" w:hAnsi="Lato" w:cs="Arial"/>
                <w:sz w:val="18"/>
                <w:szCs w:val="18"/>
              </w:rPr>
            </w:pPr>
          </w:p>
          <w:p w14:paraId="4ECE9642" w14:textId="77777777" w:rsidR="00DF44FD" w:rsidRPr="00E54B6E" w:rsidRDefault="00DF44FD" w:rsidP="00DF44FD">
            <w:pPr>
              <w:spacing w:line="240" w:lineRule="auto"/>
              <w:contextualSpacing/>
              <w:rPr>
                <w:rFonts w:ascii="Lato" w:hAnsi="Lato" w:cs="Arial"/>
                <w:sz w:val="18"/>
                <w:szCs w:val="18"/>
              </w:rPr>
            </w:pPr>
          </w:p>
          <w:p w14:paraId="66672F13" w14:textId="77777777" w:rsidR="00DF44FD" w:rsidRPr="00E54B6E" w:rsidRDefault="00DF44FD" w:rsidP="00DF44FD">
            <w:pPr>
              <w:spacing w:line="240" w:lineRule="auto"/>
              <w:contextualSpacing/>
              <w:rPr>
                <w:rFonts w:ascii="Lato" w:hAnsi="Lato" w:cs="Arial"/>
                <w:sz w:val="18"/>
                <w:szCs w:val="18"/>
              </w:rPr>
            </w:pPr>
          </w:p>
          <w:p w14:paraId="1F85E896" w14:textId="77777777" w:rsidR="00DF44FD" w:rsidRPr="00E54B6E" w:rsidRDefault="00DF44FD" w:rsidP="00DF44FD">
            <w:pPr>
              <w:spacing w:line="240" w:lineRule="auto"/>
              <w:contextualSpacing/>
              <w:rPr>
                <w:rFonts w:ascii="Lato" w:hAnsi="Lato" w:cs="Arial"/>
                <w:sz w:val="18"/>
                <w:szCs w:val="18"/>
              </w:rPr>
            </w:pPr>
          </w:p>
          <w:p w14:paraId="6F387F8E" w14:textId="77777777" w:rsidR="00DF44FD" w:rsidRPr="00E54B6E" w:rsidRDefault="00DF44FD" w:rsidP="00DF44FD">
            <w:pPr>
              <w:spacing w:line="240" w:lineRule="auto"/>
              <w:contextualSpacing/>
              <w:rPr>
                <w:rFonts w:ascii="Lato" w:hAnsi="Lato" w:cs="Arial"/>
                <w:sz w:val="18"/>
                <w:szCs w:val="18"/>
              </w:rPr>
            </w:pPr>
          </w:p>
          <w:p w14:paraId="65826C36" w14:textId="77777777" w:rsidR="00DF44FD" w:rsidRPr="00E54B6E" w:rsidRDefault="00DF44FD" w:rsidP="00DF44FD">
            <w:pPr>
              <w:spacing w:line="240" w:lineRule="auto"/>
              <w:contextualSpacing/>
              <w:rPr>
                <w:rFonts w:ascii="Lato" w:hAnsi="Lato" w:cs="Arial"/>
                <w:sz w:val="18"/>
                <w:szCs w:val="18"/>
              </w:rPr>
            </w:pPr>
          </w:p>
          <w:p w14:paraId="577E36BF" w14:textId="77777777" w:rsidR="00DF44FD" w:rsidRPr="00E54B6E" w:rsidRDefault="00DF44FD" w:rsidP="00DF44FD">
            <w:pPr>
              <w:spacing w:line="240" w:lineRule="auto"/>
              <w:contextualSpacing/>
              <w:rPr>
                <w:rFonts w:ascii="Lato" w:hAnsi="Lato" w:cs="Arial"/>
                <w:sz w:val="18"/>
                <w:szCs w:val="18"/>
              </w:rPr>
            </w:pPr>
          </w:p>
          <w:p w14:paraId="20072324" w14:textId="77777777" w:rsidR="00DF44FD" w:rsidRPr="00E54B6E" w:rsidRDefault="00DF44FD" w:rsidP="00DF44FD">
            <w:pPr>
              <w:spacing w:line="240" w:lineRule="auto"/>
              <w:contextualSpacing/>
              <w:rPr>
                <w:rFonts w:ascii="Lato" w:hAnsi="Lato" w:cs="Arial"/>
                <w:sz w:val="18"/>
                <w:szCs w:val="18"/>
              </w:rPr>
            </w:pPr>
          </w:p>
          <w:p w14:paraId="4CDBE92E" w14:textId="77777777" w:rsidR="00DF44FD" w:rsidRPr="00E54B6E" w:rsidRDefault="00DF44FD" w:rsidP="00DF44FD">
            <w:pPr>
              <w:spacing w:line="240" w:lineRule="auto"/>
              <w:contextualSpacing/>
              <w:rPr>
                <w:rFonts w:ascii="Lato" w:hAnsi="Lato" w:cs="Arial"/>
                <w:sz w:val="18"/>
                <w:szCs w:val="18"/>
              </w:rPr>
            </w:pPr>
          </w:p>
          <w:p w14:paraId="2B8D6008" w14:textId="77777777" w:rsidR="00DF44FD" w:rsidRPr="00E54B6E" w:rsidRDefault="00DF44FD" w:rsidP="00DF44FD">
            <w:pPr>
              <w:spacing w:line="240" w:lineRule="auto"/>
              <w:contextualSpacing/>
              <w:rPr>
                <w:rFonts w:ascii="Lato" w:hAnsi="Lato" w:cs="Arial"/>
                <w:sz w:val="18"/>
                <w:szCs w:val="18"/>
              </w:rPr>
            </w:pPr>
          </w:p>
          <w:p w14:paraId="69A9CFF8" w14:textId="77777777" w:rsidR="00DF44FD" w:rsidRPr="00E54B6E" w:rsidRDefault="00DF44FD" w:rsidP="00DF44FD">
            <w:pPr>
              <w:spacing w:line="240" w:lineRule="auto"/>
              <w:contextualSpacing/>
              <w:rPr>
                <w:rFonts w:ascii="Lato" w:hAnsi="Lato" w:cs="Arial"/>
                <w:sz w:val="18"/>
                <w:szCs w:val="18"/>
              </w:rPr>
            </w:pPr>
          </w:p>
          <w:p w14:paraId="329C5EB9" w14:textId="77777777" w:rsidR="00DF44FD" w:rsidRPr="00E54B6E" w:rsidRDefault="00DF44FD" w:rsidP="00DF44FD">
            <w:pPr>
              <w:spacing w:line="240" w:lineRule="auto"/>
              <w:contextualSpacing/>
              <w:rPr>
                <w:rFonts w:ascii="Lato" w:hAnsi="Lato" w:cs="Arial"/>
                <w:sz w:val="18"/>
                <w:szCs w:val="18"/>
              </w:rPr>
            </w:pPr>
          </w:p>
          <w:p w14:paraId="33EA9BD3" w14:textId="77777777" w:rsidR="00DF44FD" w:rsidRPr="00E54B6E" w:rsidRDefault="00DF44FD" w:rsidP="00DF44FD">
            <w:pPr>
              <w:spacing w:line="240" w:lineRule="auto"/>
              <w:contextualSpacing/>
              <w:rPr>
                <w:rFonts w:ascii="Lato" w:hAnsi="Lato" w:cs="Arial"/>
                <w:sz w:val="18"/>
                <w:szCs w:val="18"/>
              </w:rPr>
            </w:pPr>
          </w:p>
          <w:p w14:paraId="4A68C578" w14:textId="77777777" w:rsidR="00DF44FD" w:rsidRPr="00E54B6E" w:rsidRDefault="00DF44FD" w:rsidP="00DF44FD">
            <w:pPr>
              <w:spacing w:line="240" w:lineRule="auto"/>
              <w:contextualSpacing/>
              <w:rPr>
                <w:rFonts w:ascii="Lato" w:hAnsi="Lato" w:cs="Arial"/>
                <w:sz w:val="18"/>
                <w:szCs w:val="18"/>
              </w:rPr>
            </w:pPr>
          </w:p>
          <w:p w14:paraId="306C61F0" w14:textId="77777777" w:rsidR="00DF44FD" w:rsidRPr="00E54B6E" w:rsidRDefault="00DF44FD" w:rsidP="00DF44FD">
            <w:pPr>
              <w:spacing w:line="240" w:lineRule="auto"/>
              <w:contextualSpacing/>
              <w:rPr>
                <w:rFonts w:ascii="Lato" w:hAnsi="Lato" w:cs="Arial"/>
                <w:sz w:val="18"/>
                <w:szCs w:val="18"/>
              </w:rPr>
            </w:pPr>
          </w:p>
          <w:p w14:paraId="48F609C1" w14:textId="77777777" w:rsidR="00DF44FD" w:rsidRPr="00E54B6E" w:rsidRDefault="00DF44FD" w:rsidP="00DF44FD">
            <w:pPr>
              <w:spacing w:line="240" w:lineRule="auto"/>
              <w:contextualSpacing/>
              <w:rPr>
                <w:rFonts w:ascii="Lato" w:hAnsi="Lato" w:cs="Arial"/>
                <w:sz w:val="18"/>
                <w:szCs w:val="18"/>
              </w:rPr>
            </w:pPr>
          </w:p>
          <w:p w14:paraId="21E11B97" w14:textId="77777777" w:rsidR="00DF44FD" w:rsidRPr="00E54B6E" w:rsidRDefault="00DF44FD" w:rsidP="00DF44FD">
            <w:pPr>
              <w:spacing w:line="240" w:lineRule="auto"/>
              <w:contextualSpacing/>
              <w:rPr>
                <w:rFonts w:ascii="Lato" w:hAnsi="Lato" w:cs="Arial"/>
                <w:sz w:val="18"/>
                <w:szCs w:val="18"/>
              </w:rPr>
            </w:pPr>
          </w:p>
          <w:p w14:paraId="53EC279A" w14:textId="77777777" w:rsidR="00DF44FD" w:rsidRPr="00E54B6E" w:rsidRDefault="00DF44FD" w:rsidP="00DF44FD">
            <w:pPr>
              <w:spacing w:line="240" w:lineRule="auto"/>
              <w:contextualSpacing/>
              <w:rPr>
                <w:rFonts w:ascii="Lato" w:hAnsi="Lato" w:cs="Arial"/>
                <w:sz w:val="18"/>
                <w:szCs w:val="18"/>
              </w:rPr>
            </w:pPr>
          </w:p>
          <w:p w14:paraId="25B81E2E" w14:textId="77777777" w:rsidR="00DF44FD" w:rsidRPr="00E54B6E" w:rsidRDefault="00DF44FD" w:rsidP="00DF44FD">
            <w:pPr>
              <w:spacing w:line="240" w:lineRule="auto"/>
              <w:contextualSpacing/>
              <w:rPr>
                <w:rFonts w:ascii="Lato" w:hAnsi="Lato" w:cs="Arial"/>
                <w:sz w:val="18"/>
                <w:szCs w:val="18"/>
              </w:rPr>
            </w:pPr>
          </w:p>
          <w:p w14:paraId="236A9F62" w14:textId="77777777" w:rsidR="00DF44FD" w:rsidRPr="00E54B6E" w:rsidRDefault="00DF44FD" w:rsidP="00DF44FD">
            <w:pPr>
              <w:spacing w:line="240" w:lineRule="auto"/>
              <w:contextualSpacing/>
              <w:rPr>
                <w:rFonts w:ascii="Lato" w:hAnsi="Lato" w:cs="Arial"/>
                <w:sz w:val="18"/>
                <w:szCs w:val="18"/>
              </w:rPr>
            </w:pPr>
          </w:p>
          <w:p w14:paraId="4C712FD1" w14:textId="77777777" w:rsidR="00DF44FD" w:rsidRPr="00E54B6E" w:rsidRDefault="00DF44FD" w:rsidP="00DF44FD">
            <w:pPr>
              <w:spacing w:line="240" w:lineRule="auto"/>
              <w:contextualSpacing/>
              <w:rPr>
                <w:rFonts w:ascii="Lato" w:hAnsi="Lato" w:cs="Arial"/>
                <w:sz w:val="18"/>
                <w:szCs w:val="18"/>
              </w:rPr>
            </w:pPr>
          </w:p>
          <w:p w14:paraId="3D174272" w14:textId="77777777" w:rsidR="00DF44FD" w:rsidRPr="00E54B6E" w:rsidRDefault="00DF44FD" w:rsidP="00DF44FD">
            <w:pPr>
              <w:spacing w:line="240" w:lineRule="auto"/>
              <w:contextualSpacing/>
              <w:rPr>
                <w:rFonts w:ascii="Lato" w:hAnsi="Lato" w:cs="Arial"/>
                <w:sz w:val="18"/>
                <w:szCs w:val="18"/>
              </w:rPr>
            </w:pPr>
            <w:r w:rsidRPr="00E54B6E">
              <w:rPr>
                <w:rFonts w:ascii="Lato" w:hAnsi="Lato" w:cs="Arial"/>
                <w:sz w:val="18"/>
                <w:szCs w:val="18"/>
              </w:rPr>
              <w:t>Ad. 3 Uwaga zasadna</w:t>
            </w:r>
          </w:p>
          <w:p w14:paraId="405CD7B8" w14:textId="77777777" w:rsidR="00DF44FD" w:rsidRPr="00E54B6E" w:rsidRDefault="00DF44FD" w:rsidP="00DF44FD">
            <w:pPr>
              <w:spacing w:line="240" w:lineRule="auto"/>
              <w:contextualSpacing/>
              <w:rPr>
                <w:rFonts w:ascii="Lato" w:hAnsi="Lato" w:cs="Arial"/>
                <w:sz w:val="18"/>
                <w:szCs w:val="18"/>
              </w:rPr>
            </w:pPr>
            <w:r w:rsidRPr="00E54B6E">
              <w:rPr>
                <w:rFonts w:ascii="Lato" w:hAnsi="Lato" w:cs="Arial"/>
                <w:sz w:val="18"/>
                <w:szCs w:val="18"/>
              </w:rPr>
              <w:t>Uwzględniono</w:t>
            </w:r>
          </w:p>
          <w:p w14:paraId="44CC928C" w14:textId="77777777" w:rsidR="00DF44FD" w:rsidRPr="00E54B6E" w:rsidRDefault="00DF44FD" w:rsidP="00DF44FD">
            <w:pPr>
              <w:spacing w:line="240" w:lineRule="auto"/>
              <w:contextualSpacing/>
              <w:rPr>
                <w:rFonts w:ascii="Lato" w:hAnsi="Lato" w:cs="Arial"/>
                <w:sz w:val="18"/>
                <w:szCs w:val="18"/>
              </w:rPr>
            </w:pPr>
          </w:p>
          <w:p w14:paraId="771EE37E" w14:textId="77777777" w:rsidR="00DF44FD" w:rsidRPr="00E54B6E" w:rsidRDefault="00DF44FD" w:rsidP="00DF44FD">
            <w:pPr>
              <w:spacing w:line="240" w:lineRule="auto"/>
              <w:contextualSpacing/>
              <w:rPr>
                <w:rFonts w:ascii="Lato" w:hAnsi="Lato" w:cs="Arial"/>
                <w:sz w:val="18"/>
                <w:szCs w:val="18"/>
              </w:rPr>
            </w:pPr>
          </w:p>
          <w:p w14:paraId="770A426B" w14:textId="77777777" w:rsidR="00DF44FD" w:rsidRPr="00E54B6E" w:rsidRDefault="00DF44FD" w:rsidP="00DF44FD">
            <w:pPr>
              <w:spacing w:line="240" w:lineRule="auto"/>
              <w:contextualSpacing/>
              <w:rPr>
                <w:rFonts w:ascii="Lato" w:hAnsi="Lato" w:cs="Arial"/>
                <w:sz w:val="18"/>
                <w:szCs w:val="18"/>
              </w:rPr>
            </w:pPr>
          </w:p>
          <w:p w14:paraId="5FA30791" w14:textId="77777777" w:rsidR="00DF44FD" w:rsidRPr="00E54B6E" w:rsidRDefault="00DF44FD" w:rsidP="00DF44FD">
            <w:pPr>
              <w:spacing w:line="240" w:lineRule="auto"/>
              <w:contextualSpacing/>
              <w:rPr>
                <w:rFonts w:ascii="Lato" w:hAnsi="Lato" w:cs="Arial"/>
                <w:sz w:val="18"/>
                <w:szCs w:val="18"/>
              </w:rPr>
            </w:pPr>
          </w:p>
          <w:p w14:paraId="0C6639E5" w14:textId="77777777" w:rsidR="00DF44FD" w:rsidRPr="00E54B6E" w:rsidRDefault="00DF44FD" w:rsidP="00DF44FD">
            <w:pPr>
              <w:spacing w:line="240" w:lineRule="auto"/>
              <w:contextualSpacing/>
              <w:rPr>
                <w:rFonts w:ascii="Lato" w:hAnsi="Lato" w:cs="Arial"/>
                <w:sz w:val="18"/>
                <w:szCs w:val="18"/>
              </w:rPr>
            </w:pPr>
          </w:p>
          <w:p w14:paraId="48C7AF1A" w14:textId="77777777" w:rsidR="00DF44FD" w:rsidRPr="00E54B6E" w:rsidRDefault="00DF44FD" w:rsidP="00DF44FD">
            <w:pPr>
              <w:spacing w:line="240" w:lineRule="auto"/>
              <w:contextualSpacing/>
              <w:rPr>
                <w:rFonts w:ascii="Lato" w:hAnsi="Lato" w:cs="Arial"/>
                <w:sz w:val="18"/>
                <w:szCs w:val="18"/>
              </w:rPr>
            </w:pPr>
          </w:p>
          <w:p w14:paraId="2F955907" w14:textId="77777777" w:rsidR="00DF44FD" w:rsidRPr="00E54B6E" w:rsidRDefault="00DF44FD" w:rsidP="00DF44FD">
            <w:pPr>
              <w:spacing w:line="240" w:lineRule="auto"/>
              <w:contextualSpacing/>
              <w:rPr>
                <w:rFonts w:ascii="Lato" w:hAnsi="Lato" w:cs="Arial"/>
                <w:sz w:val="18"/>
                <w:szCs w:val="18"/>
              </w:rPr>
            </w:pPr>
          </w:p>
          <w:p w14:paraId="0F85408E" w14:textId="77777777" w:rsidR="00DF44FD" w:rsidRPr="00E54B6E" w:rsidRDefault="00DF44FD" w:rsidP="00DF44FD">
            <w:pPr>
              <w:spacing w:line="240" w:lineRule="auto"/>
              <w:contextualSpacing/>
              <w:rPr>
                <w:rFonts w:ascii="Lato" w:hAnsi="Lato" w:cs="Arial"/>
                <w:sz w:val="18"/>
                <w:szCs w:val="18"/>
              </w:rPr>
            </w:pPr>
          </w:p>
          <w:p w14:paraId="060A475B" w14:textId="77777777" w:rsidR="00DF44FD" w:rsidRPr="00E54B6E" w:rsidRDefault="00DF44FD" w:rsidP="00DF44FD">
            <w:pPr>
              <w:spacing w:line="240" w:lineRule="auto"/>
              <w:contextualSpacing/>
              <w:rPr>
                <w:rFonts w:ascii="Lato" w:hAnsi="Lato" w:cs="Arial"/>
                <w:sz w:val="18"/>
                <w:szCs w:val="18"/>
              </w:rPr>
            </w:pPr>
          </w:p>
          <w:p w14:paraId="53601146" w14:textId="77777777" w:rsidR="00DF44FD" w:rsidRPr="00E54B6E" w:rsidRDefault="00DF44FD" w:rsidP="00DF44FD">
            <w:pPr>
              <w:spacing w:line="240" w:lineRule="auto"/>
              <w:contextualSpacing/>
              <w:rPr>
                <w:rFonts w:ascii="Lato" w:hAnsi="Lato" w:cs="Arial"/>
                <w:sz w:val="18"/>
                <w:szCs w:val="18"/>
              </w:rPr>
            </w:pPr>
          </w:p>
          <w:p w14:paraId="27839282" w14:textId="77777777" w:rsidR="00DF44FD" w:rsidRPr="00E54B6E" w:rsidRDefault="00DF44FD" w:rsidP="00DF44FD">
            <w:pPr>
              <w:spacing w:line="240" w:lineRule="auto"/>
              <w:contextualSpacing/>
              <w:rPr>
                <w:rFonts w:ascii="Lato" w:hAnsi="Lato" w:cs="Arial"/>
                <w:sz w:val="18"/>
                <w:szCs w:val="18"/>
              </w:rPr>
            </w:pPr>
          </w:p>
          <w:p w14:paraId="7D98442A" w14:textId="77777777" w:rsidR="00DF44FD" w:rsidRPr="00E54B6E" w:rsidRDefault="00DF44FD" w:rsidP="00DF44FD">
            <w:pPr>
              <w:spacing w:line="240" w:lineRule="auto"/>
              <w:contextualSpacing/>
              <w:rPr>
                <w:rFonts w:ascii="Lato" w:hAnsi="Lato" w:cs="Arial"/>
                <w:sz w:val="18"/>
                <w:szCs w:val="18"/>
              </w:rPr>
            </w:pPr>
          </w:p>
          <w:p w14:paraId="557BEF46" w14:textId="77777777" w:rsidR="00DF44FD" w:rsidRPr="00E54B6E" w:rsidRDefault="00DF44FD" w:rsidP="00DF44FD">
            <w:pPr>
              <w:spacing w:line="240" w:lineRule="auto"/>
              <w:contextualSpacing/>
              <w:rPr>
                <w:rFonts w:ascii="Lato" w:hAnsi="Lato" w:cs="Arial"/>
                <w:sz w:val="18"/>
                <w:szCs w:val="18"/>
              </w:rPr>
            </w:pPr>
          </w:p>
          <w:p w14:paraId="0E973F8D" w14:textId="77777777" w:rsidR="00DF44FD" w:rsidRPr="00E54B6E" w:rsidRDefault="00DF44FD" w:rsidP="00DF44FD">
            <w:pPr>
              <w:spacing w:line="240" w:lineRule="auto"/>
              <w:contextualSpacing/>
              <w:rPr>
                <w:rFonts w:ascii="Lato" w:hAnsi="Lato" w:cs="Arial"/>
                <w:sz w:val="18"/>
                <w:szCs w:val="18"/>
              </w:rPr>
            </w:pPr>
          </w:p>
          <w:p w14:paraId="5B6DC602" w14:textId="77777777" w:rsidR="00DF44FD" w:rsidRPr="00E54B6E" w:rsidRDefault="00DF44FD" w:rsidP="00DF44FD">
            <w:pPr>
              <w:spacing w:line="240" w:lineRule="auto"/>
              <w:contextualSpacing/>
              <w:rPr>
                <w:rFonts w:ascii="Lato" w:hAnsi="Lato" w:cs="Arial"/>
                <w:sz w:val="18"/>
                <w:szCs w:val="18"/>
              </w:rPr>
            </w:pPr>
          </w:p>
          <w:p w14:paraId="1D522700" w14:textId="77777777" w:rsidR="00DF44FD" w:rsidRPr="00E54B6E" w:rsidRDefault="00DF44FD" w:rsidP="00DF44FD">
            <w:pPr>
              <w:spacing w:line="240" w:lineRule="auto"/>
              <w:contextualSpacing/>
              <w:rPr>
                <w:rFonts w:ascii="Lato" w:hAnsi="Lato" w:cs="Arial"/>
                <w:sz w:val="18"/>
                <w:szCs w:val="18"/>
              </w:rPr>
            </w:pPr>
          </w:p>
          <w:p w14:paraId="73AEF088" w14:textId="77777777" w:rsidR="00DF44FD" w:rsidRPr="00E54B6E" w:rsidRDefault="00DF44FD" w:rsidP="00DF44FD">
            <w:pPr>
              <w:spacing w:line="240" w:lineRule="auto"/>
              <w:contextualSpacing/>
              <w:rPr>
                <w:rFonts w:ascii="Lato" w:hAnsi="Lato" w:cs="Arial"/>
                <w:sz w:val="18"/>
                <w:szCs w:val="18"/>
              </w:rPr>
            </w:pPr>
          </w:p>
          <w:p w14:paraId="194E80D4" w14:textId="77777777" w:rsidR="00DF44FD" w:rsidRPr="00E54B6E" w:rsidRDefault="00DF44FD" w:rsidP="00DF44FD">
            <w:pPr>
              <w:spacing w:line="240" w:lineRule="auto"/>
              <w:contextualSpacing/>
              <w:rPr>
                <w:rFonts w:ascii="Lato" w:hAnsi="Lato" w:cs="Arial"/>
                <w:sz w:val="18"/>
                <w:szCs w:val="18"/>
              </w:rPr>
            </w:pPr>
          </w:p>
          <w:p w14:paraId="73B0FC63" w14:textId="77777777" w:rsidR="00DF44FD" w:rsidRPr="00E54B6E" w:rsidRDefault="00DF44FD" w:rsidP="00DF44FD">
            <w:pPr>
              <w:spacing w:line="240" w:lineRule="auto"/>
              <w:contextualSpacing/>
              <w:rPr>
                <w:rFonts w:ascii="Lato" w:hAnsi="Lato" w:cs="Arial"/>
                <w:sz w:val="18"/>
                <w:szCs w:val="18"/>
              </w:rPr>
            </w:pPr>
          </w:p>
          <w:p w14:paraId="67CF44B8" w14:textId="77777777" w:rsidR="00DF44FD" w:rsidRPr="00E54B6E" w:rsidRDefault="00DF44FD" w:rsidP="00DF44FD">
            <w:pPr>
              <w:spacing w:line="240" w:lineRule="auto"/>
              <w:contextualSpacing/>
              <w:rPr>
                <w:rFonts w:ascii="Lato" w:hAnsi="Lato" w:cs="Arial"/>
                <w:sz w:val="18"/>
                <w:szCs w:val="18"/>
              </w:rPr>
            </w:pPr>
          </w:p>
          <w:p w14:paraId="158C3045" w14:textId="77777777" w:rsidR="00DF44FD" w:rsidRPr="00E54B6E" w:rsidRDefault="00DF44FD" w:rsidP="00DF44FD">
            <w:pPr>
              <w:spacing w:line="240" w:lineRule="auto"/>
              <w:contextualSpacing/>
              <w:rPr>
                <w:rFonts w:ascii="Lato" w:hAnsi="Lato" w:cs="Arial"/>
                <w:sz w:val="18"/>
                <w:szCs w:val="18"/>
              </w:rPr>
            </w:pPr>
          </w:p>
          <w:p w14:paraId="3E249059" w14:textId="77777777" w:rsidR="00DF44FD" w:rsidRPr="00E54B6E" w:rsidRDefault="00DF44FD" w:rsidP="00DF44FD">
            <w:pPr>
              <w:spacing w:line="240" w:lineRule="auto"/>
              <w:contextualSpacing/>
              <w:rPr>
                <w:rFonts w:ascii="Lato" w:hAnsi="Lato" w:cs="Arial"/>
                <w:sz w:val="18"/>
                <w:szCs w:val="18"/>
              </w:rPr>
            </w:pPr>
          </w:p>
          <w:p w14:paraId="1BC27289" w14:textId="77777777" w:rsidR="00DF44FD" w:rsidRPr="00E54B6E" w:rsidRDefault="00DF44FD" w:rsidP="00DF44FD">
            <w:pPr>
              <w:spacing w:line="240" w:lineRule="auto"/>
              <w:contextualSpacing/>
              <w:rPr>
                <w:rFonts w:ascii="Lato" w:hAnsi="Lato" w:cs="Arial"/>
                <w:sz w:val="18"/>
                <w:szCs w:val="18"/>
              </w:rPr>
            </w:pPr>
          </w:p>
          <w:p w14:paraId="0DB0C132" w14:textId="77777777" w:rsidR="00DF44FD" w:rsidRPr="00E54B6E" w:rsidRDefault="00DF44FD" w:rsidP="00DF44FD">
            <w:pPr>
              <w:spacing w:line="240" w:lineRule="auto"/>
              <w:contextualSpacing/>
              <w:rPr>
                <w:rFonts w:ascii="Lato" w:hAnsi="Lato" w:cs="Arial"/>
                <w:sz w:val="18"/>
                <w:szCs w:val="18"/>
              </w:rPr>
            </w:pPr>
          </w:p>
          <w:p w14:paraId="50F06352" w14:textId="77777777" w:rsidR="00DF44FD" w:rsidRPr="00E54B6E" w:rsidRDefault="00DF44FD" w:rsidP="00DF44FD">
            <w:pPr>
              <w:spacing w:line="240" w:lineRule="auto"/>
              <w:contextualSpacing/>
              <w:rPr>
                <w:rFonts w:ascii="Lato" w:hAnsi="Lato" w:cs="Arial"/>
                <w:sz w:val="18"/>
                <w:szCs w:val="18"/>
              </w:rPr>
            </w:pPr>
          </w:p>
          <w:p w14:paraId="311F178F" w14:textId="77777777" w:rsidR="00DF44FD" w:rsidRPr="00E54B6E" w:rsidRDefault="00DF44FD" w:rsidP="00DF44FD">
            <w:pPr>
              <w:spacing w:line="240" w:lineRule="auto"/>
              <w:contextualSpacing/>
              <w:rPr>
                <w:rFonts w:ascii="Lato" w:hAnsi="Lato" w:cs="Arial"/>
                <w:sz w:val="18"/>
                <w:szCs w:val="18"/>
              </w:rPr>
            </w:pPr>
          </w:p>
          <w:p w14:paraId="10D78977" w14:textId="77777777" w:rsidR="00DF44FD" w:rsidRPr="00E54B6E" w:rsidRDefault="00DF44FD" w:rsidP="00DF44FD">
            <w:pPr>
              <w:spacing w:line="240" w:lineRule="auto"/>
              <w:contextualSpacing/>
              <w:rPr>
                <w:rFonts w:ascii="Lato" w:hAnsi="Lato" w:cs="Arial"/>
                <w:sz w:val="18"/>
                <w:szCs w:val="18"/>
              </w:rPr>
            </w:pPr>
          </w:p>
          <w:p w14:paraId="37C15CC5" w14:textId="77777777" w:rsidR="00DF44FD" w:rsidRPr="00E54B6E" w:rsidRDefault="00DF44FD" w:rsidP="00DF44FD">
            <w:pPr>
              <w:spacing w:line="240" w:lineRule="auto"/>
              <w:contextualSpacing/>
              <w:rPr>
                <w:rFonts w:ascii="Lato" w:hAnsi="Lato" w:cs="Arial"/>
                <w:sz w:val="18"/>
                <w:szCs w:val="18"/>
              </w:rPr>
            </w:pPr>
          </w:p>
          <w:p w14:paraId="1010B06F" w14:textId="77777777" w:rsidR="00DF44FD" w:rsidRPr="00E54B6E" w:rsidRDefault="00DF44FD" w:rsidP="00DF44FD">
            <w:pPr>
              <w:spacing w:line="240" w:lineRule="auto"/>
              <w:contextualSpacing/>
              <w:rPr>
                <w:rFonts w:ascii="Lato" w:hAnsi="Lato" w:cs="Arial"/>
                <w:sz w:val="18"/>
                <w:szCs w:val="18"/>
              </w:rPr>
            </w:pPr>
          </w:p>
          <w:p w14:paraId="6B4D5502" w14:textId="77777777" w:rsidR="00DF44FD" w:rsidRPr="00E54B6E" w:rsidRDefault="00DF44FD" w:rsidP="00DF44FD">
            <w:pPr>
              <w:spacing w:line="240" w:lineRule="auto"/>
              <w:contextualSpacing/>
              <w:rPr>
                <w:rFonts w:ascii="Lato" w:hAnsi="Lato" w:cs="Arial"/>
                <w:sz w:val="18"/>
                <w:szCs w:val="18"/>
              </w:rPr>
            </w:pPr>
          </w:p>
          <w:p w14:paraId="10C320E5" w14:textId="77777777" w:rsidR="00DF44FD" w:rsidRPr="00E54B6E" w:rsidRDefault="00DF44FD" w:rsidP="00DF44FD">
            <w:pPr>
              <w:spacing w:line="240" w:lineRule="auto"/>
              <w:contextualSpacing/>
              <w:rPr>
                <w:rFonts w:ascii="Lato" w:hAnsi="Lato" w:cs="Arial"/>
                <w:sz w:val="18"/>
                <w:szCs w:val="18"/>
              </w:rPr>
            </w:pPr>
          </w:p>
          <w:p w14:paraId="28D1ABB6" w14:textId="77777777" w:rsidR="00DF44FD" w:rsidRPr="00E54B6E" w:rsidRDefault="00DF44FD" w:rsidP="00DF44FD">
            <w:pPr>
              <w:spacing w:line="240" w:lineRule="auto"/>
              <w:contextualSpacing/>
              <w:rPr>
                <w:rFonts w:ascii="Lato" w:hAnsi="Lato" w:cs="Arial"/>
                <w:sz w:val="18"/>
                <w:szCs w:val="18"/>
              </w:rPr>
            </w:pPr>
          </w:p>
          <w:p w14:paraId="0EB539A4" w14:textId="77777777" w:rsidR="00DF44FD" w:rsidRPr="00E54B6E" w:rsidRDefault="00DF44FD" w:rsidP="00DF44FD">
            <w:pPr>
              <w:spacing w:line="240" w:lineRule="auto"/>
              <w:contextualSpacing/>
              <w:rPr>
                <w:rFonts w:ascii="Lato" w:hAnsi="Lato" w:cs="Arial"/>
                <w:sz w:val="18"/>
                <w:szCs w:val="18"/>
              </w:rPr>
            </w:pPr>
          </w:p>
          <w:p w14:paraId="5970F7DB" w14:textId="77777777" w:rsidR="00DF44FD" w:rsidRPr="00E54B6E" w:rsidRDefault="00DF44FD" w:rsidP="00DF44FD">
            <w:pPr>
              <w:spacing w:line="240" w:lineRule="auto"/>
              <w:contextualSpacing/>
              <w:rPr>
                <w:rFonts w:ascii="Lato" w:hAnsi="Lato" w:cs="Arial"/>
                <w:sz w:val="18"/>
                <w:szCs w:val="18"/>
              </w:rPr>
            </w:pPr>
          </w:p>
          <w:p w14:paraId="5DE17E00" w14:textId="77777777" w:rsidR="00DF44FD" w:rsidRPr="00E54B6E" w:rsidRDefault="00DF44FD" w:rsidP="00DF44FD">
            <w:pPr>
              <w:spacing w:line="240" w:lineRule="auto"/>
              <w:contextualSpacing/>
              <w:rPr>
                <w:rFonts w:ascii="Lato" w:hAnsi="Lato" w:cs="Arial"/>
                <w:sz w:val="18"/>
                <w:szCs w:val="18"/>
              </w:rPr>
            </w:pPr>
          </w:p>
          <w:p w14:paraId="2EAB9FFE" w14:textId="77777777" w:rsidR="00DF44FD" w:rsidRPr="00E54B6E" w:rsidRDefault="00DF44FD" w:rsidP="00DF44FD">
            <w:pPr>
              <w:spacing w:line="240" w:lineRule="auto"/>
              <w:contextualSpacing/>
              <w:rPr>
                <w:rFonts w:ascii="Lato" w:hAnsi="Lato" w:cs="Arial"/>
                <w:sz w:val="18"/>
                <w:szCs w:val="18"/>
              </w:rPr>
            </w:pPr>
          </w:p>
          <w:p w14:paraId="09258C86" w14:textId="77777777" w:rsidR="00DF44FD" w:rsidRPr="00E54B6E" w:rsidRDefault="00DF44FD" w:rsidP="00DF44FD">
            <w:pPr>
              <w:spacing w:line="240" w:lineRule="auto"/>
              <w:contextualSpacing/>
              <w:rPr>
                <w:rFonts w:ascii="Lato" w:hAnsi="Lato" w:cs="Arial"/>
                <w:sz w:val="18"/>
                <w:szCs w:val="18"/>
              </w:rPr>
            </w:pPr>
          </w:p>
          <w:p w14:paraId="008C9B78" w14:textId="77777777" w:rsidR="00DF44FD" w:rsidRPr="00E54B6E" w:rsidRDefault="00DF44FD" w:rsidP="00DF44FD">
            <w:pPr>
              <w:spacing w:line="240" w:lineRule="auto"/>
              <w:contextualSpacing/>
              <w:rPr>
                <w:rFonts w:ascii="Lato" w:hAnsi="Lato" w:cs="Arial"/>
                <w:sz w:val="18"/>
                <w:szCs w:val="18"/>
              </w:rPr>
            </w:pPr>
          </w:p>
          <w:p w14:paraId="2D34F335" w14:textId="77777777" w:rsidR="00DF44FD" w:rsidRPr="00E54B6E" w:rsidRDefault="00DF44FD" w:rsidP="00DF44FD">
            <w:pPr>
              <w:spacing w:line="240" w:lineRule="auto"/>
              <w:contextualSpacing/>
              <w:rPr>
                <w:rFonts w:ascii="Lato" w:hAnsi="Lato" w:cs="Arial"/>
                <w:sz w:val="18"/>
                <w:szCs w:val="18"/>
              </w:rPr>
            </w:pPr>
          </w:p>
          <w:p w14:paraId="6362FCF6" w14:textId="77777777" w:rsidR="00DF44FD" w:rsidRPr="00E54B6E" w:rsidRDefault="00DF44FD" w:rsidP="00DF44FD">
            <w:pPr>
              <w:spacing w:line="240" w:lineRule="auto"/>
              <w:contextualSpacing/>
              <w:rPr>
                <w:rFonts w:ascii="Lato" w:hAnsi="Lato" w:cs="Arial"/>
                <w:sz w:val="18"/>
                <w:szCs w:val="18"/>
              </w:rPr>
            </w:pPr>
          </w:p>
          <w:p w14:paraId="678F645C" w14:textId="77777777" w:rsidR="00DF44FD" w:rsidRPr="00E54B6E" w:rsidRDefault="00DF44FD" w:rsidP="00DF44FD">
            <w:pPr>
              <w:spacing w:line="240" w:lineRule="auto"/>
              <w:contextualSpacing/>
              <w:rPr>
                <w:rFonts w:ascii="Lato" w:hAnsi="Lato" w:cs="Arial"/>
                <w:sz w:val="18"/>
                <w:szCs w:val="18"/>
              </w:rPr>
            </w:pPr>
          </w:p>
          <w:p w14:paraId="030A10AA" w14:textId="77777777" w:rsidR="00DF44FD" w:rsidRPr="00E54B6E" w:rsidRDefault="00DF44FD" w:rsidP="00DF44FD">
            <w:pPr>
              <w:spacing w:line="240" w:lineRule="auto"/>
              <w:contextualSpacing/>
              <w:rPr>
                <w:rFonts w:ascii="Lato" w:hAnsi="Lato" w:cs="Arial"/>
                <w:sz w:val="18"/>
                <w:szCs w:val="18"/>
              </w:rPr>
            </w:pPr>
          </w:p>
          <w:p w14:paraId="342E0B2C" w14:textId="77777777" w:rsidR="00DF44FD" w:rsidRPr="00E54B6E" w:rsidRDefault="00DF44FD" w:rsidP="00DF44FD">
            <w:pPr>
              <w:spacing w:line="240" w:lineRule="auto"/>
              <w:contextualSpacing/>
              <w:rPr>
                <w:rFonts w:ascii="Lato" w:hAnsi="Lato" w:cs="Arial"/>
                <w:sz w:val="18"/>
                <w:szCs w:val="18"/>
              </w:rPr>
            </w:pPr>
          </w:p>
          <w:p w14:paraId="656F606A" w14:textId="77777777" w:rsidR="00DF44FD" w:rsidRPr="00E54B6E" w:rsidRDefault="00DF44FD" w:rsidP="00DF44FD">
            <w:pPr>
              <w:spacing w:line="240" w:lineRule="auto"/>
              <w:contextualSpacing/>
              <w:rPr>
                <w:rFonts w:ascii="Lato" w:hAnsi="Lato" w:cs="Arial"/>
                <w:sz w:val="18"/>
                <w:szCs w:val="18"/>
              </w:rPr>
            </w:pPr>
          </w:p>
          <w:p w14:paraId="4355F499" w14:textId="77777777" w:rsidR="00E54B6E" w:rsidRDefault="00E54B6E" w:rsidP="00DF44FD">
            <w:pPr>
              <w:spacing w:line="240" w:lineRule="auto"/>
              <w:contextualSpacing/>
              <w:rPr>
                <w:rFonts w:ascii="Lato" w:hAnsi="Lato" w:cs="Arial"/>
                <w:sz w:val="18"/>
                <w:szCs w:val="18"/>
              </w:rPr>
            </w:pPr>
          </w:p>
          <w:p w14:paraId="2885C60B" w14:textId="77777777" w:rsidR="00E54B6E" w:rsidRDefault="00E54B6E" w:rsidP="00DF44FD">
            <w:pPr>
              <w:spacing w:line="240" w:lineRule="auto"/>
              <w:contextualSpacing/>
              <w:rPr>
                <w:rFonts w:ascii="Lato" w:hAnsi="Lato" w:cs="Arial"/>
                <w:sz w:val="18"/>
                <w:szCs w:val="18"/>
              </w:rPr>
            </w:pPr>
          </w:p>
          <w:p w14:paraId="61A75D43" w14:textId="77777777" w:rsidR="00E54B6E" w:rsidRDefault="00E54B6E" w:rsidP="00DF44FD">
            <w:pPr>
              <w:spacing w:line="240" w:lineRule="auto"/>
              <w:contextualSpacing/>
              <w:rPr>
                <w:rFonts w:ascii="Lato" w:hAnsi="Lato" w:cs="Arial"/>
                <w:sz w:val="18"/>
                <w:szCs w:val="18"/>
              </w:rPr>
            </w:pPr>
          </w:p>
          <w:p w14:paraId="78DFFD46" w14:textId="77777777" w:rsidR="00E54B6E" w:rsidRDefault="00E54B6E" w:rsidP="00DF44FD">
            <w:pPr>
              <w:spacing w:line="240" w:lineRule="auto"/>
              <w:contextualSpacing/>
              <w:rPr>
                <w:rFonts w:ascii="Lato" w:hAnsi="Lato" w:cs="Arial"/>
                <w:sz w:val="18"/>
                <w:szCs w:val="18"/>
              </w:rPr>
            </w:pPr>
          </w:p>
          <w:p w14:paraId="779D29B3" w14:textId="77777777" w:rsidR="00E54B6E" w:rsidRDefault="00E54B6E" w:rsidP="00DF44FD">
            <w:pPr>
              <w:spacing w:line="240" w:lineRule="auto"/>
              <w:contextualSpacing/>
              <w:rPr>
                <w:rFonts w:ascii="Lato" w:hAnsi="Lato" w:cs="Arial"/>
                <w:sz w:val="18"/>
                <w:szCs w:val="18"/>
              </w:rPr>
            </w:pPr>
          </w:p>
          <w:p w14:paraId="6916B1F0" w14:textId="77777777" w:rsidR="00E54B6E" w:rsidRDefault="00E54B6E" w:rsidP="00DF44FD">
            <w:pPr>
              <w:spacing w:line="240" w:lineRule="auto"/>
              <w:contextualSpacing/>
              <w:rPr>
                <w:rFonts w:ascii="Lato" w:hAnsi="Lato" w:cs="Arial"/>
                <w:sz w:val="18"/>
                <w:szCs w:val="18"/>
              </w:rPr>
            </w:pPr>
          </w:p>
          <w:p w14:paraId="0E815661" w14:textId="77777777" w:rsidR="00E54B6E" w:rsidRDefault="00E54B6E" w:rsidP="00DF44FD">
            <w:pPr>
              <w:spacing w:line="240" w:lineRule="auto"/>
              <w:contextualSpacing/>
              <w:rPr>
                <w:rFonts w:ascii="Lato" w:hAnsi="Lato" w:cs="Arial"/>
                <w:sz w:val="18"/>
                <w:szCs w:val="18"/>
              </w:rPr>
            </w:pPr>
          </w:p>
          <w:p w14:paraId="0BD6CF70" w14:textId="77777777" w:rsidR="00E54B6E" w:rsidRDefault="00E54B6E" w:rsidP="00DF44FD">
            <w:pPr>
              <w:spacing w:line="240" w:lineRule="auto"/>
              <w:contextualSpacing/>
              <w:rPr>
                <w:rFonts w:ascii="Lato" w:hAnsi="Lato" w:cs="Arial"/>
                <w:sz w:val="18"/>
                <w:szCs w:val="18"/>
              </w:rPr>
            </w:pPr>
          </w:p>
          <w:p w14:paraId="2795DC7A" w14:textId="77777777" w:rsidR="00E54B6E" w:rsidRDefault="00E54B6E" w:rsidP="00DF44FD">
            <w:pPr>
              <w:spacing w:line="240" w:lineRule="auto"/>
              <w:contextualSpacing/>
              <w:rPr>
                <w:rFonts w:ascii="Lato" w:hAnsi="Lato" w:cs="Arial"/>
                <w:sz w:val="18"/>
                <w:szCs w:val="18"/>
              </w:rPr>
            </w:pPr>
          </w:p>
          <w:p w14:paraId="6D1D13C0" w14:textId="77777777" w:rsidR="00E54B6E" w:rsidRDefault="00E54B6E" w:rsidP="00DF44FD">
            <w:pPr>
              <w:spacing w:line="240" w:lineRule="auto"/>
              <w:contextualSpacing/>
              <w:rPr>
                <w:rFonts w:ascii="Lato" w:hAnsi="Lato" w:cs="Arial"/>
                <w:sz w:val="18"/>
                <w:szCs w:val="18"/>
              </w:rPr>
            </w:pPr>
          </w:p>
          <w:p w14:paraId="79CD9D1C" w14:textId="77777777" w:rsidR="00E54B6E" w:rsidRDefault="00E54B6E" w:rsidP="00DF44FD">
            <w:pPr>
              <w:spacing w:line="240" w:lineRule="auto"/>
              <w:contextualSpacing/>
              <w:rPr>
                <w:rFonts w:ascii="Lato" w:hAnsi="Lato" w:cs="Arial"/>
                <w:sz w:val="18"/>
                <w:szCs w:val="18"/>
              </w:rPr>
            </w:pPr>
          </w:p>
          <w:p w14:paraId="0F08D03F" w14:textId="77777777" w:rsidR="00E54B6E" w:rsidRDefault="00E54B6E" w:rsidP="00DF44FD">
            <w:pPr>
              <w:spacing w:line="240" w:lineRule="auto"/>
              <w:contextualSpacing/>
              <w:rPr>
                <w:rFonts w:ascii="Lato" w:hAnsi="Lato" w:cs="Arial"/>
                <w:sz w:val="18"/>
                <w:szCs w:val="18"/>
              </w:rPr>
            </w:pPr>
          </w:p>
          <w:p w14:paraId="39A8D497" w14:textId="77777777" w:rsidR="00E54B6E" w:rsidRDefault="00E54B6E" w:rsidP="00DF44FD">
            <w:pPr>
              <w:spacing w:line="240" w:lineRule="auto"/>
              <w:contextualSpacing/>
              <w:rPr>
                <w:rFonts w:ascii="Lato" w:hAnsi="Lato" w:cs="Arial"/>
                <w:sz w:val="18"/>
                <w:szCs w:val="18"/>
              </w:rPr>
            </w:pPr>
          </w:p>
          <w:p w14:paraId="4EACC1B1" w14:textId="77777777" w:rsidR="00E54B6E" w:rsidRDefault="00E54B6E" w:rsidP="00DF44FD">
            <w:pPr>
              <w:spacing w:line="240" w:lineRule="auto"/>
              <w:contextualSpacing/>
              <w:rPr>
                <w:rFonts w:ascii="Lato" w:hAnsi="Lato" w:cs="Arial"/>
                <w:sz w:val="18"/>
                <w:szCs w:val="18"/>
              </w:rPr>
            </w:pPr>
          </w:p>
          <w:p w14:paraId="21E5A70D" w14:textId="77777777" w:rsidR="00E54B6E" w:rsidRDefault="00E54B6E" w:rsidP="00DF44FD">
            <w:pPr>
              <w:spacing w:line="240" w:lineRule="auto"/>
              <w:contextualSpacing/>
              <w:rPr>
                <w:rFonts w:ascii="Lato" w:hAnsi="Lato" w:cs="Arial"/>
                <w:sz w:val="18"/>
                <w:szCs w:val="18"/>
              </w:rPr>
            </w:pPr>
          </w:p>
          <w:p w14:paraId="615AA408" w14:textId="77777777" w:rsidR="00E54B6E" w:rsidRDefault="00E54B6E" w:rsidP="00DF44FD">
            <w:pPr>
              <w:spacing w:line="240" w:lineRule="auto"/>
              <w:contextualSpacing/>
              <w:rPr>
                <w:rFonts w:ascii="Lato" w:hAnsi="Lato" w:cs="Arial"/>
                <w:sz w:val="18"/>
                <w:szCs w:val="18"/>
              </w:rPr>
            </w:pPr>
          </w:p>
          <w:p w14:paraId="3CDD4177" w14:textId="77777777" w:rsidR="00E54B6E" w:rsidRDefault="00E54B6E" w:rsidP="00DF44FD">
            <w:pPr>
              <w:spacing w:line="240" w:lineRule="auto"/>
              <w:contextualSpacing/>
              <w:rPr>
                <w:rFonts w:ascii="Lato" w:hAnsi="Lato" w:cs="Arial"/>
                <w:sz w:val="18"/>
                <w:szCs w:val="18"/>
              </w:rPr>
            </w:pPr>
          </w:p>
          <w:p w14:paraId="26768E1B" w14:textId="77777777" w:rsidR="00E54B6E" w:rsidRDefault="00E54B6E" w:rsidP="00DF44FD">
            <w:pPr>
              <w:spacing w:line="240" w:lineRule="auto"/>
              <w:contextualSpacing/>
              <w:rPr>
                <w:rFonts w:ascii="Lato" w:hAnsi="Lato" w:cs="Arial"/>
                <w:sz w:val="18"/>
                <w:szCs w:val="18"/>
              </w:rPr>
            </w:pPr>
          </w:p>
          <w:p w14:paraId="4ACE1B6B" w14:textId="0F255690" w:rsidR="00DF44FD" w:rsidRPr="00E54B6E" w:rsidRDefault="00DF44FD" w:rsidP="00DF44FD">
            <w:pPr>
              <w:spacing w:line="240" w:lineRule="auto"/>
              <w:contextualSpacing/>
              <w:rPr>
                <w:rFonts w:ascii="Lato" w:hAnsi="Lato" w:cs="Arial"/>
                <w:sz w:val="18"/>
                <w:szCs w:val="18"/>
              </w:rPr>
            </w:pPr>
            <w:r w:rsidRPr="00E54B6E">
              <w:rPr>
                <w:rFonts w:ascii="Lato" w:hAnsi="Lato" w:cs="Arial"/>
                <w:sz w:val="18"/>
                <w:szCs w:val="18"/>
              </w:rPr>
              <w:t>Ad. 4 Uwaga zasadna</w:t>
            </w:r>
          </w:p>
          <w:p w14:paraId="5FFEB0BC" w14:textId="77777777" w:rsidR="00DF44FD" w:rsidRPr="00E54B6E" w:rsidRDefault="00DF44FD" w:rsidP="00DF44FD">
            <w:pPr>
              <w:spacing w:line="240" w:lineRule="auto"/>
              <w:contextualSpacing/>
              <w:rPr>
                <w:rFonts w:ascii="Lato" w:hAnsi="Lato" w:cs="Arial"/>
                <w:sz w:val="18"/>
                <w:szCs w:val="18"/>
              </w:rPr>
            </w:pPr>
            <w:r w:rsidRPr="00E54B6E">
              <w:rPr>
                <w:rFonts w:ascii="Lato" w:hAnsi="Lato" w:cs="Arial"/>
                <w:sz w:val="18"/>
                <w:szCs w:val="18"/>
              </w:rPr>
              <w:t>Uwzględniono</w:t>
            </w:r>
          </w:p>
          <w:p w14:paraId="48CF0678" w14:textId="77777777" w:rsidR="00DF44FD" w:rsidRPr="00E54B6E" w:rsidRDefault="00DF44FD" w:rsidP="00DF44FD">
            <w:pPr>
              <w:spacing w:line="240" w:lineRule="auto"/>
              <w:contextualSpacing/>
              <w:rPr>
                <w:rFonts w:ascii="Lato" w:hAnsi="Lato" w:cs="Arial"/>
                <w:sz w:val="18"/>
                <w:szCs w:val="18"/>
              </w:rPr>
            </w:pPr>
          </w:p>
          <w:p w14:paraId="49381232" w14:textId="77777777" w:rsidR="00DF44FD" w:rsidRPr="00E54B6E" w:rsidRDefault="00DF44FD" w:rsidP="00DF44FD">
            <w:pPr>
              <w:spacing w:line="240" w:lineRule="auto"/>
              <w:contextualSpacing/>
              <w:rPr>
                <w:rFonts w:ascii="Lato" w:hAnsi="Lato" w:cs="Arial"/>
                <w:sz w:val="18"/>
                <w:szCs w:val="18"/>
              </w:rPr>
            </w:pPr>
          </w:p>
          <w:p w14:paraId="071ED186" w14:textId="77777777" w:rsidR="00DF44FD" w:rsidRPr="00E54B6E" w:rsidRDefault="00DF44FD" w:rsidP="00DF44FD">
            <w:pPr>
              <w:spacing w:line="240" w:lineRule="auto"/>
              <w:contextualSpacing/>
              <w:rPr>
                <w:rFonts w:ascii="Lato" w:hAnsi="Lato" w:cs="Arial"/>
                <w:sz w:val="18"/>
                <w:szCs w:val="18"/>
              </w:rPr>
            </w:pPr>
          </w:p>
          <w:p w14:paraId="4458AE7D" w14:textId="77777777" w:rsidR="00DF44FD" w:rsidRPr="00E54B6E" w:rsidRDefault="00DF44FD" w:rsidP="00DF44FD">
            <w:pPr>
              <w:spacing w:line="240" w:lineRule="auto"/>
              <w:contextualSpacing/>
              <w:rPr>
                <w:rFonts w:ascii="Lato" w:hAnsi="Lato" w:cs="Arial"/>
                <w:sz w:val="18"/>
                <w:szCs w:val="18"/>
              </w:rPr>
            </w:pPr>
          </w:p>
          <w:p w14:paraId="192ABCB7" w14:textId="77777777" w:rsidR="00DF44FD" w:rsidRPr="00E54B6E" w:rsidRDefault="00DF44FD" w:rsidP="00DF44FD">
            <w:pPr>
              <w:spacing w:line="240" w:lineRule="auto"/>
              <w:contextualSpacing/>
              <w:rPr>
                <w:rFonts w:ascii="Lato" w:hAnsi="Lato" w:cs="Arial"/>
                <w:sz w:val="18"/>
                <w:szCs w:val="18"/>
              </w:rPr>
            </w:pPr>
          </w:p>
          <w:p w14:paraId="17968104" w14:textId="77777777" w:rsidR="00DF44FD" w:rsidRPr="00E54B6E" w:rsidRDefault="00DF44FD" w:rsidP="00DF44FD">
            <w:pPr>
              <w:spacing w:line="240" w:lineRule="auto"/>
              <w:contextualSpacing/>
              <w:rPr>
                <w:rFonts w:ascii="Lato" w:hAnsi="Lato" w:cs="Arial"/>
                <w:sz w:val="18"/>
                <w:szCs w:val="18"/>
              </w:rPr>
            </w:pPr>
          </w:p>
          <w:p w14:paraId="03E02357" w14:textId="77777777" w:rsidR="00DF44FD" w:rsidRPr="00E54B6E" w:rsidRDefault="00DF44FD" w:rsidP="00DF44FD">
            <w:pPr>
              <w:spacing w:line="240" w:lineRule="auto"/>
              <w:contextualSpacing/>
              <w:rPr>
                <w:rFonts w:ascii="Lato" w:hAnsi="Lato" w:cs="Arial"/>
                <w:sz w:val="18"/>
                <w:szCs w:val="18"/>
              </w:rPr>
            </w:pPr>
          </w:p>
          <w:p w14:paraId="48B86C83" w14:textId="77777777" w:rsidR="00DF44FD" w:rsidRPr="00E54B6E" w:rsidRDefault="00DF44FD" w:rsidP="00DF44FD">
            <w:pPr>
              <w:spacing w:line="240" w:lineRule="auto"/>
              <w:contextualSpacing/>
              <w:rPr>
                <w:rFonts w:ascii="Lato" w:hAnsi="Lato" w:cs="Arial"/>
                <w:sz w:val="18"/>
                <w:szCs w:val="18"/>
              </w:rPr>
            </w:pPr>
          </w:p>
          <w:p w14:paraId="6627C85C" w14:textId="77777777" w:rsidR="00DF44FD" w:rsidRPr="00E54B6E" w:rsidRDefault="00DF44FD" w:rsidP="00DF44FD">
            <w:pPr>
              <w:spacing w:line="240" w:lineRule="auto"/>
              <w:contextualSpacing/>
              <w:rPr>
                <w:rFonts w:ascii="Lato" w:hAnsi="Lato" w:cs="Arial"/>
                <w:sz w:val="18"/>
                <w:szCs w:val="18"/>
              </w:rPr>
            </w:pPr>
          </w:p>
          <w:p w14:paraId="1F3E6B68" w14:textId="77777777" w:rsidR="00DF44FD" w:rsidRPr="00E54B6E" w:rsidRDefault="00DF44FD" w:rsidP="00DF44FD">
            <w:pPr>
              <w:spacing w:line="240" w:lineRule="auto"/>
              <w:contextualSpacing/>
              <w:rPr>
                <w:rFonts w:ascii="Lato" w:hAnsi="Lato" w:cs="Arial"/>
                <w:sz w:val="18"/>
                <w:szCs w:val="18"/>
              </w:rPr>
            </w:pPr>
          </w:p>
          <w:p w14:paraId="38AB4388" w14:textId="77777777" w:rsidR="00DF44FD" w:rsidRPr="00E54B6E" w:rsidRDefault="00DF44FD" w:rsidP="00DF44FD">
            <w:pPr>
              <w:spacing w:line="240" w:lineRule="auto"/>
              <w:contextualSpacing/>
              <w:rPr>
                <w:rFonts w:ascii="Lato" w:hAnsi="Lato" w:cs="Arial"/>
                <w:sz w:val="18"/>
                <w:szCs w:val="18"/>
              </w:rPr>
            </w:pPr>
          </w:p>
          <w:p w14:paraId="1D4A8E94" w14:textId="77777777" w:rsidR="00DF44FD" w:rsidRPr="00E54B6E" w:rsidRDefault="00DF44FD" w:rsidP="00DF44FD">
            <w:pPr>
              <w:spacing w:line="240" w:lineRule="auto"/>
              <w:contextualSpacing/>
              <w:rPr>
                <w:rFonts w:ascii="Lato" w:hAnsi="Lato" w:cs="Arial"/>
                <w:sz w:val="18"/>
                <w:szCs w:val="18"/>
              </w:rPr>
            </w:pPr>
          </w:p>
          <w:p w14:paraId="504C72E5" w14:textId="77777777" w:rsidR="00DF44FD" w:rsidRPr="00E54B6E" w:rsidRDefault="00DF44FD" w:rsidP="00DF44FD">
            <w:pPr>
              <w:spacing w:line="240" w:lineRule="auto"/>
              <w:contextualSpacing/>
              <w:rPr>
                <w:rFonts w:ascii="Lato" w:hAnsi="Lato" w:cs="Arial"/>
                <w:sz w:val="18"/>
                <w:szCs w:val="18"/>
              </w:rPr>
            </w:pPr>
          </w:p>
          <w:p w14:paraId="1FE09EB3" w14:textId="77777777" w:rsidR="00DF44FD" w:rsidRPr="00E54B6E" w:rsidRDefault="00DF44FD" w:rsidP="00DF44FD">
            <w:pPr>
              <w:spacing w:line="240" w:lineRule="auto"/>
              <w:contextualSpacing/>
              <w:rPr>
                <w:rFonts w:ascii="Lato" w:hAnsi="Lato" w:cs="Arial"/>
                <w:sz w:val="18"/>
                <w:szCs w:val="18"/>
              </w:rPr>
            </w:pPr>
          </w:p>
          <w:p w14:paraId="0734F4E6" w14:textId="77777777" w:rsidR="00DF44FD" w:rsidRPr="00E54B6E" w:rsidRDefault="00DF44FD" w:rsidP="00DF44FD">
            <w:pPr>
              <w:spacing w:line="240" w:lineRule="auto"/>
              <w:contextualSpacing/>
              <w:rPr>
                <w:rFonts w:ascii="Lato" w:hAnsi="Lato" w:cs="Arial"/>
                <w:sz w:val="18"/>
                <w:szCs w:val="18"/>
              </w:rPr>
            </w:pPr>
          </w:p>
          <w:p w14:paraId="15A3D40E" w14:textId="77777777" w:rsidR="00DF44FD" w:rsidRPr="00E54B6E" w:rsidRDefault="00DF44FD" w:rsidP="00DF44FD">
            <w:pPr>
              <w:spacing w:line="240" w:lineRule="auto"/>
              <w:contextualSpacing/>
              <w:rPr>
                <w:rFonts w:ascii="Lato" w:hAnsi="Lato" w:cs="Arial"/>
                <w:sz w:val="18"/>
                <w:szCs w:val="18"/>
              </w:rPr>
            </w:pPr>
          </w:p>
          <w:p w14:paraId="490ACEEA" w14:textId="77777777" w:rsidR="00DF44FD" w:rsidRPr="00E54B6E" w:rsidRDefault="00DF44FD" w:rsidP="00DF44FD">
            <w:pPr>
              <w:spacing w:line="240" w:lineRule="auto"/>
              <w:contextualSpacing/>
              <w:rPr>
                <w:rFonts w:ascii="Lato" w:hAnsi="Lato" w:cs="Arial"/>
                <w:sz w:val="18"/>
                <w:szCs w:val="18"/>
              </w:rPr>
            </w:pPr>
          </w:p>
          <w:p w14:paraId="3EB0B8D4" w14:textId="77777777" w:rsidR="00DF44FD" w:rsidRPr="00E54B6E" w:rsidRDefault="00DF44FD" w:rsidP="00DF44FD">
            <w:pPr>
              <w:spacing w:line="240" w:lineRule="auto"/>
              <w:contextualSpacing/>
              <w:rPr>
                <w:rFonts w:ascii="Lato" w:hAnsi="Lato" w:cs="Arial"/>
                <w:sz w:val="18"/>
                <w:szCs w:val="18"/>
              </w:rPr>
            </w:pPr>
          </w:p>
          <w:p w14:paraId="1CAF8458" w14:textId="77777777" w:rsidR="00DF44FD" w:rsidRPr="00E54B6E" w:rsidRDefault="00DF44FD" w:rsidP="00DF44FD">
            <w:pPr>
              <w:spacing w:line="240" w:lineRule="auto"/>
              <w:contextualSpacing/>
              <w:rPr>
                <w:rFonts w:ascii="Lato" w:hAnsi="Lato" w:cs="Arial"/>
                <w:sz w:val="18"/>
                <w:szCs w:val="18"/>
              </w:rPr>
            </w:pPr>
          </w:p>
          <w:p w14:paraId="1474E9F4" w14:textId="77777777" w:rsidR="00DF44FD" w:rsidRPr="00E54B6E" w:rsidRDefault="00DF44FD" w:rsidP="00DF44FD">
            <w:pPr>
              <w:spacing w:line="240" w:lineRule="auto"/>
              <w:contextualSpacing/>
              <w:rPr>
                <w:rFonts w:ascii="Lato" w:hAnsi="Lato" w:cs="Arial"/>
                <w:sz w:val="18"/>
                <w:szCs w:val="18"/>
              </w:rPr>
            </w:pPr>
          </w:p>
          <w:p w14:paraId="64400224" w14:textId="77777777" w:rsidR="00DF44FD" w:rsidRPr="00E54B6E" w:rsidRDefault="00DF44FD" w:rsidP="00DF44FD">
            <w:pPr>
              <w:spacing w:line="240" w:lineRule="auto"/>
              <w:contextualSpacing/>
              <w:rPr>
                <w:rFonts w:ascii="Lato" w:hAnsi="Lato" w:cs="Arial"/>
                <w:sz w:val="18"/>
                <w:szCs w:val="18"/>
              </w:rPr>
            </w:pPr>
          </w:p>
          <w:p w14:paraId="069F0A61" w14:textId="77777777" w:rsidR="00DF44FD" w:rsidRPr="00E54B6E" w:rsidRDefault="00DF44FD" w:rsidP="00DF44FD">
            <w:pPr>
              <w:spacing w:line="240" w:lineRule="auto"/>
              <w:contextualSpacing/>
              <w:rPr>
                <w:rFonts w:ascii="Lato" w:hAnsi="Lato" w:cs="Arial"/>
                <w:sz w:val="18"/>
                <w:szCs w:val="18"/>
              </w:rPr>
            </w:pPr>
          </w:p>
          <w:p w14:paraId="1E5DE2EA" w14:textId="77777777" w:rsidR="00DF44FD" w:rsidRPr="00E54B6E" w:rsidRDefault="00DF44FD" w:rsidP="00DF44FD">
            <w:pPr>
              <w:spacing w:line="240" w:lineRule="auto"/>
              <w:contextualSpacing/>
              <w:rPr>
                <w:rFonts w:ascii="Lato" w:hAnsi="Lato" w:cs="Arial"/>
                <w:sz w:val="18"/>
                <w:szCs w:val="18"/>
              </w:rPr>
            </w:pPr>
          </w:p>
          <w:p w14:paraId="12D6DCEA" w14:textId="77777777" w:rsidR="00DF44FD" w:rsidRPr="00E54B6E" w:rsidRDefault="00DF44FD" w:rsidP="00DF44FD">
            <w:pPr>
              <w:spacing w:line="240" w:lineRule="auto"/>
              <w:contextualSpacing/>
              <w:rPr>
                <w:rFonts w:ascii="Lato" w:hAnsi="Lato" w:cs="Arial"/>
                <w:sz w:val="18"/>
                <w:szCs w:val="18"/>
              </w:rPr>
            </w:pPr>
          </w:p>
          <w:p w14:paraId="57E5AF6F" w14:textId="77777777" w:rsidR="00DF44FD" w:rsidRPr="00E54B6E" w:rsidRDefault="00DF44FD" w:rsidP="00DF44FD">
            <w:pPr>
              <w:spacing w:line="240" w:lineRule="auto"/>
              <w:contextualSpacing/>
              <w:rPr>
                <w:rFonts w:ascii="Lato" w:hAnsi="Lato" w:cs="Arial"/>
                <w:sz w:val="18"/>
                <w:szCs w:val="18"/>
              </w:rPr>
            </w:pPr>
          </w:p>
          <w:p w14:paraId="21881888" w14:textId="77777777" w:rsidR="00DF44FD" w:rsidRPr="00E54B6E" w:rsidRDefault="00DF44FD" w:rsidP="00DF44FD">
            <w:pPr>
              <w:spacing w:line="240" w:lineRule="auto"/>
              <w:contextualSpacing/>
              <w:rPr>
                <w:rFonts w:ascii="Lato" w:hAnsi="Lato" w:cs="Arial"/>
                <w:sz w:val="18"/>
                <w:szCs w:val="18"/>
              </w:rPr>
            </w:pPr>
          </w:p>
          <w:p w14:paraId="7D21DFC3" w14:textId="77777777" w:rsidR="00DF44FD" w:rsidRPr="00E54B6E" w:rsidRDefault="00DF44FD" w:rsidP="00DF44FD">
            <w:pPr>
              <w:spacing w:line="240" w:lineRule="auto"/>
              <w:contextualSpacing/>
              <w:rPr>
                <w:rFonts w:ascii="Lato" w:hAnsi="Lato" w:cs="Arial"/>
                <w:sz w:val="18"/>
                <w:szCs w:val="18"/>
              </w:rPr>
            </w:pPr>
          </w:p>
          <w:p w14:paraId="17922B30" w14:textId="77777777" w:rsidR="00DF44FD" w:rsidRPr="00E54B6E" w:rsidRDefault="00DF44FD" w:rsidP="00DF44FD">
            <w:pPr>
              <w:spacing w:line="240" w:lineRule="auto"/>
              <w:contextualSpacing/>
              <w:rPr>
                <w:rFonts w:ascii="Lato" w:hAnsi="Lato" w:cs="Arial"/>
                <w:sz w:val="18"/>
                <w:szCs w:val="18"/>
              </w:rPr>
            </w:pPr>
          </w:p>
          <w:p w14:paraId="5D8F80EA" w14:textId="77777777" w:rsidR="00DF44FD" w:rsidRPr="00E54B6E" w:rsidRDefault="00DF44FD" w:rsidP="00DF44FD">
            <w:pPr>
              <w:spacing w:line="240" w:lineRule="auto"/>
              <w:contextualSpacing/>
              <w:rPr>
                <w:rFonts w:ascii="Lato" w:hAnsi="Lato" w:cs="Arial"/>
                <w:sz w:val="18"/>
                <w:szCs w:val="18"/>
              </w:rPr>
            </w:pPr>
          </w:p>
          <w:p w14:paraId="65517EDA" w14:textId="77777777" w:rsidR="00DF44FD" w:rsidRPr="00E54B6E" w:rsidRDefault="00DF44FD" w:rsidP="00DF44FD">
            <w:pPr>
              <w:spacing w:line="240" w:lineRule="auto"/>
              <w:contextualSpacing/>
              <w:rPr>
                <w:rFonts w:ascii="Lato" w:hAnsi="Lato" w:cs="Arial"/>
                <w:sz w:val="18"/>
                <w:szCs w:val="18"/>
              </w:rPr>
            </w:pPr>
          </w:p>
          <w:p w14:paraId="027C55FA" w14:textId="77777777" w:rsidR="00DF44FD" w:rsidRPr="00E54B6E" w:rsidRDefault="00DF44FD" w:rsidP="00DF44FD">
            <w:pPr>
              <w:spacing w:line="240" w:lineRule="auto"/>
              <w:contextualSpacing/>
              <w:rPr>
                <w:rFonts w:ascii="Lato" w:hAnsi="Lato" w:cs="Arial"/>
                <w:sz w:val="18"/>
                <w:szCs w:val="18"/>
              </w:rPr>
            </w:pPr>
          </w:p>
          <w:p w14:paraId="76FB170F" w14:textId="77777777" w:rsidR="00DF44FD" w:rsidRPr="00E54B6E" w:rsidRDefault="00DF44FD" w:rsidP="00DF44FD">
            <w:pPr>
              <w:spacing w:line="240" w:lineRule="auto"/>
              <w:contextualSpacing/>
              <w:rPr>
                <w:rFonts w:ascii="Lato" w:hAnsi="Lato" w:cs="Arial"/>
                <w:sz w:val="18"/>
                <w:szCs w:val="18"/>
              </w:rPr>
            </w:pPr>
          </w:p>
          <w:p w14:paraId="19B07FFB" w14:textId="77777777" w:rsidR="00DF44FD" w:rsidRPr="00E54B6E" w:rsidRDefault="00DF44FD" w:rsidP="00DF44FD">
            <w:pPr>
              <w:spacing w:line="240" w:lineRule="auto"/>
              <w:contextualSpacing/>
              <w:rPr>
                <w:rFonts w:ascii="Lato" w:hAnsi="Lato" w:cs="Arial"/>
                <w:sz w:val="18"/>
                <w:szCs w:val="18"/>
              </w:rPr>
            </w:pPr>
          </w:p>
          <w:p w14:paraId="232A8F63" w14:textId="77777777" w:rsidR="00DF44FD" w:rsidRPr="00E54B6E" w:rsidRDefault="00DF44FD" w:rsidP="00DF44FD">
            <w:pPr>
              <w:spacing w:line="240" w:lineRule="auto"/>
              <w:contextualSpacing/>
              <w:rPr>
                <w:rFonts w:ascii="Lato" w:hAnsi="Lato" w:cs="Arial"/>
                <w:sz w:val="18"/>
                <w:szCs w:val="18"/>
              </w:rPr>
            </w:pPr>
          </w:p>
          <w:p w14:paraId="32CB7C38" w14:textId="77777777" w:rsidR="00DF44FD" w:rsidRPr="00E54B6E" w:rsidRDefault="00DF44FD" w:rsidP="00DF44FD">
            <w:pPr>
              <w:spacing w:line="240" w:lineRule="auto"/>
              <w:contextualSpacing/>
              <w:rPr>
                <w:rFonts w:ascii="Lato" w:hAnsi="Lato" w:cs="Arial"/>
                <w:sz w:val="18"/>
                <w:szCs w:val="18"/>
              </w:rPr>
            </w:pPr>
          </w:p>
          <w:p w14:paraId="40593AE8" w14:textId="77777777" w:rsidR="00DF44FD" w:rsidRPr="00E54B6E" w:rsidRDefault="00DF44FD" w:rsidP="00DF44FD">
            <w:pPr>
              <w:spacing w:line="240" w:lineRule="auto"/>
              <w:contextualSpacing/>
              <w:rPr>
                <w:rFonts w:ascii="Lato" w:hAnsi="Lato" w:cs="Arial"/>
                <w:sz w:val="18"/>
                <w:szCs w:val="18"/>
              </w:rPr>
            </w:pPr>
            <w:r w:rsidRPr="00E54B6E">
              <w:rPr>
                <w:rFonts w:ascii="Lato" w:hAnsi="Lato" w:cs="Arial"/>
                <w:sz w:val="18"/>
                <w:szCs w:val="18"/>
              </w:rPr>
              <w:t>Ad. 5 Uwaga zasadna</w:t>
            </w:r>
          </w:p>
          <w:p w14:paraId="3A35AE19" w14:textId="77777777" w:rsidR="00DF44FD" w:rsidRPr="00E54B6E" w:rsidRDefault="00DF44FD" w:rsidP="00DF44FD">
            <w:pPr>
              <w:spacing w:line="240" w:lineRule="auto"/>
              <w:contextualSpacing/>
              <w:rPr>
                <w:rFonts w:ascii="Lato" w:hAnsi="Lato" w:cs="Arial"/>
                <w:sz w:val="18"/>
                <w:szCs w:val="18"/>
              </w:rPr>
            </w:pPr>
            <w:r w:rsidRPr="00E54B6E">
              <w:rPr>
                <w:rFonts w:ascii="Lato" w:hAnsi="Lato" w:cs="Arial"/>
                <w:sz w:val="18"/>
                <w:szCs w:val="18"/>
              </w:rPr>
              <w:t>Uwzględniono</w:t>
            </w:r>
          </w:p>
          <w:p w14:paraId="3864CA6D" w14:textId="77777777" w:rsidR="00DF44FD" w:rsidRPr="00E54B6E" w:rsidRDefault="00DF44FD" w:rsidP="00DF44FD">
            <w:pPr>
              <w:spacing w:line="240" w:lineRule="auto"/>
              <w:contextualSpacing/>
              <w:rPr>
                <w:rFonts w:ascii="Lato" w:hAnsi="Lato" w:cs="Arial"/>
                <w:sz w:val="18"/>
                <w:szCs w:val="18"/>
              </w:rPr>
            </w:pPr>
          </w:p>
          <w:p w14:paraId="0DB68D2B" w14:textId="77777777" w:rsidR="00DF44FD" w:rsidRPr="00E54B6E" w:rsidRDefault="00DF44FD" w:rsidP="00DF44FD">
            <w:pPr>
              <w:spacing w:line="240" w:lineRule="auto"/>
              <w:contextualSpacing/>
              <w:rPr>
                <w:rFonts w:ascii="Lato" w:hAnsi="Lato" w:cs="Arial"/>
                <w:sz w:val="18"/>
                <w:szCs w:val="18"/>
              </w:rPr>
            </w:pPr>
          </w:p>
          <w:p w14:paraId="2F526EBB" w14:textId="77777777" w:rsidR="00DF44FD" w:rsidRPr="00E54B6E" w:rsidRDefault="00DF44FD" w:rsidP="00DF44FD">
            <w:pPr>
              <w:spacing w:line="240" w:lineRule="auto"/>
              <w:contextualSpacing/>
              <w:rPr>
                <w:rFonts w:ascii="Lato" w:hAnsi="Lato" w:cs="Arial"/>
                <w:sz w:val="18"/>
                <w:szCs w:val="18"/>
              </w:rPr>
            </w:pPr>
          </w:p>
          <w:p w14:paraId="086EDA0C" w14:textId="77777777" w:rsidR="00DF44FD" w:rsidRPr="00E54B6E" w:rsidRDefault="00DF44FD" w:rsidP="00DF44FD">
            <w:pPr>
              <w:spacing w:line="240" w:lineRule="auto"/>
              <w:contextualSpacing/>
              <w:rPr>
                <w:rFonts w:ascii="Lato" w:hAnsi="Lato" w:cs="Arial"/>
                <w:sz w:val="18"/>
                <w:szCs w:val="18"/>
              </w:rPr>
            </w:pPr>
          </w:p>
          <w:p w14:paraId="1FAFB73B" w14:textId="77777777" w:rsidR="00DF44FD" w:rsidRPr="00E54B6E" w:rsidRDefault="00DF44FD" w:rsidP="00DF44FD">
            <w:pPr>
              <w:spacing w:line="240" w:lineRule="auto"/>
              <w:contextualSpacing/>
              <w:rPr>
                <w:rFonts w:ascii="Lato" w:hAnsi="Lato" w:cs="Arial"/>
                <w:sz w:val="18"/>
                <w:szCs w:val="18"/>
              </w:rPr>
            </w:pPr>
          </w:p>
          <w:p w14:paraId="3315271B" w14:textId="77777777" w:rsidR="00DF44FD" w:rsidRPr="00E54B6E" w:rsidRDefault="00DF44FD" w:rsidP="00DF44FD">
            <w:pPr>
              <w:spacing w:line="240" w:lineRule="auto"/>
              <w:contextualSpacing/>
              <w:rPr>
                <w:rFonts w:ascii="Lato" w:hAnsi="Lato" w:cs="Arial"/>
                <w:sz w:val="18"/>
                <w:szCs w:val="18"/>
              </w:rPr>
            </w:pPr>
          </w:p>
          <w:p w14:paraId="4D89F406" w14:textId="77777777" w:rsidR="00DF44FD" w:rsidRPr="00E54B6E" w:rsidRDefault="00DF44FD" w:rsidP="00DF44FD">
            <w:pPr>
              <w:spacing w:line="240" w:lineRule="auto"/>
              <w:contextualSpacing/>
              <w:rPr>
                <w:rFonts w:ascii="Lato" w:hAnsi="Lato" w:cs="Arial"/>
                <w:sz w:val="18"/>
                <w:szCs w:val="18"/>
              </w:rPr>
            </w:pPr>
          </w:p>
          <w:p w14:paraId="40637361" w14:textId="77777777" w:rsidR="00DF44FD" w:rsidRPr="00E54B6E" w:rsidRDefault="00DF44FD" w:rsidP="00DF44FD">
            <w:pPr>
              <w:spacing w:line="240" w:lineRule="auto"/>
              <w:contextualSpacing/>
              <w:rPr>
                <w:rFonts w:ascii="Lato" w:hAnsi="Lato" w:cs="Arial"/>
                <w:sz w:val="18"/>
                <w:szCs w:val="18"/>
              </w:rPr>
            </w:pPr>
          </w:p>
          <w:p w14:paraId="424E2AFA" w14:textId="77777777" w:rsidR="00DF44FD" w:rsidRPr="00E54B6E" w:rsidRDefault="00DF44FD" w:rsidP="00DF44FD">
            <w:pPr>
              <w:spacing w:line="240" w:lineRule="auto"/>
              <w:contextualSpacing/>
              <w:rPr>
                <w:rFonts w:ascii="Lato" w:hAnsi="Lato" w:cs="Arial"/>
                <w:sz w:val="18"/>
                <w:szCs w:val="18"/>
              </w:rPr>
            </w:pPr>
          </w:p>
          <w:p w14:paraId="4BD39163" w14:textId="77777777" w:rsidR="00DF44FD" w:rsidRPr="00E54B6E" w:rsidRDefault="00DF44FD" w:rsidP="00DF44FD">
            <w:pPr>
              <w:spacing w:line="240" w:lineRule="auto"/>
              <w:contextualSpacing/>
              <w:rPr>
                <w:rFonts w:ascii="Lato" w:hAnsi="Lato" w:cs="Arial"/>
                <w:sz w:val="18"/>
                <w:szCs w:val="18"/>
              </w:rPr>
            </w:pPr>
          </w:p>
          <w:p w14:paraId="0E7D5145" w14:textId="77777777" w:rsidR="00DF44FD" w:rsidRPr="00E54B6E" w:rsidRDefault="00DF44FD" w:rsidP="00DF44FD">
            <w:pPr>
              <w:spacing w:line="240" w:lineRule="auto"/>
              <w:contextualSpacing/>
              <w:rPr>
                <w:rFonts w:ascii="Lato" w:hAnsi="Lato" w:cs="Arial"/>
                <w:sz w:val="18"/>
                <w:szCs w:val="18"/>
              </w:rPr>
            </w:pPr>
          </w:p>
          <w:p w14:paraId="78A3706C" w14:textId="77777777" w:rsidR="00DF44FD" w:rsidRPr="00E54B6E" w:rsidRDefault="00DF44FD" w:rsidP="00DF44FD">
            <w:pPr>
              <w:spacing w:line="240" w:lineRule="auto"/>
              <w:contextualSpacing/>
              <w:rPr>
                <w:rFonts w:ascii="Lato" w:hAnsi="Lato" w:cs="Arial"/>
                <w:sz w:val="18"/>
                <w:szCs w:val="18"/>
              </w:rPr>
            </w:pPr>
          </w:p>
          <w:p w14:paraId="311CCD75" w14:textId="77777777" w:rsidR="00DF44FD" w:rsidRPr="00E54B6E" w:rsidRDefault="00DF44FD" w:rsidP="00DF44FD">
            <w:pPr>
              <w:spacing w:line="240" w:lineRule="auto"/>
              <w:contextualSpacing/>
              <w:rPr>
                <w:rFonts w:ascii="Lato" w:hAnsi="Lato" w:cs="Arial"/>
                <w:sz w:val="18"/>
                <w:szCs w:val="18"/>
              </w:rPr>
            </w:pPr>
          </w:p>
          <w:p w14:paraId="3902BC79" w14:textId="77777777" w:rsidR="00DF44FD" w:rsidRPr="00E54B6E" w:rsidRDefault="00DF44FD" w:rsidP="00DF44FD">
            <w:pPr>
              <w:spacing w:line="240" w:lineRule="auto"/>
              <w:contextualSpacing/>
              <w:rPr>
                <w:rFonts w:ascii="Lato" w:hAnsi="Lato" w:cs="Arial"/>
                <w:sz w:val="18"/>
                <w:szCs w:val="18"/>
              </w:rPr>
            </w:pPr>
          </w:p>
          <w:p w14:paraId="390545EC" w14:textId="77777777" w:rsidR="00DF44FD" w:rsidRPr="00E54B6E" w:rsidRDefault="00DF44FD" w:rsidP="00DF44FD">
            <w:pPr>
              <w:spacing w:line="240" w:lineRule="auto"/>
              <w:contextualSpacing/>
              <w:rPr>
                <w:rFonts w:ascii="Lato" w:hAnsi="Lato" w:cs="Arial"/>
                <w:sz w:val="18"/>
                <w:szCs w:val="18"/>
              </w:rPr>
            </w:pPr>
          </w:p>
          <w:p w14:paraId="1A585204" w14:textId="77777777" w:rsidR="00DF44FD" w:rsidRPr="00E54B6E" w:rsidRDefault="00DF44FD" w:rsidP="00DF44FD">
            <w:pPr>
              <w:spacing w:line="240" w:lineRule="auto"/>
              <w:contextualSpacing/>
              <w:rPr>
                <w:rFonts w:ascii="Lato" w:hAnsi="Lato" w:cs="Arial"/>
                <w:sz w:val="18"/>
                <w:szCs w:val="18"/>
              </w:rPr>
            </w:pPr>
          </w:p>
          <w:p w14:paraId="494F30C7" w14:textId="77777777" w:rsidR="00DF44FD" w:rsidRPr="00E54B6E" w:rsidRDefault="00DF44FD" w:rsidP="00DF44FD">
            <w:pPr>
              <w:spacing w:line="240" w:lineRule="auto"/>
              <w:contextualSpacing/>
              <w:rPr>
                <w:rFonts w:ascii="Lato" w:hAnsi="Lato" w:cs="Arial"/>
                <w:sz w:val="18"/>
                <w:szCs w:val="18"/>
              </w:rPr>
            </w:pPr>
          </w:p>
          <w:p w14:paraId="7E0F2D83" w14:textId="77777777" w:rsidR="00DF44FD" w:rsidRPr="00E54B6E" w:rsidRDefault="00DF44FD" w:rsidP="00DF44FD">
            <w:pPr>
              <w:spacing w:line="240" w:lineRule="auto"/>
              <w:contextualSpacing/>
              <w:rPr>
                <w:rFonts w:ascii="Lato" w:hAnsi="Lato" w:cs="Arial"/>
                <w:sz w:val="18"/>
                <w:szCs w:val="18"/>
              </w:rPr>
            </w:pPr>
          </w:p>
          <w:p w14:paraId="2751F806" w14:textId="77777777" w:rsidR="00DF44FD" w:rsidRPr="00E54B6E" w:rsidRDefault="00DF44FD" w:rsidP="00DF44FD">
            <w:pPr>
              <w:spacing w:line="240" w:lineRule="auto"/>
              <w:contextualSpacing/>
              <w:rPr>
                <w:rFonts w:ascii="Lato" w:hAnsi="Lato" w:cs="Arial"/>
                <w:sz w:val="18"/>
                <w:szCs w:val="18"/>
              </w:rPr>
            </w:pPr>
          </w:p>
          <w:p w14:paraId="0EA4B45B" w14:textId="77777777" w:rsidR="00DF44FD" w:rsidRPr="00E54B6E" w:rsidRDefault="00DF44FD" w:rsidP="00DF44FD">
            <w:pPr>
              <w:spacing w:line="240" w:lineRule="auto"/>
              <w:contextualSpacing/>
              <w:rPr>
                <w:rFonts w:ascii="Lato" w:hAnsi="Lato" w:cs="Arial"/>
                <w:sz w:val="18"/>
                <w:szCs w:val="18"/>
              </w:rPr>
            </w:pPr>
          </w:p>
          <w:p w14:paraId="5FA7C70C" w14:textId="77777777" w:rsidR="00DF44FD" w:rsidRPr="00E54B6E" w:rsidRDefault="00DF44FD" w:rsidP="00DF44FD">
            <w:pPr>
              <w:spacing w:line="240" w:lineRule="auto"/>
              <w:contextualSpacing/>
              <w:rPr>
                <w:rFonts w:ascii="Lato" w:hAnsi="Lato" w:cs="Arial"/>
                <w:sz w:val="18"/>
                <w:szCs w:val="18"/>
              </w:rPr>
            </w:pPr>
          </w:p>
          <w:p w14:paraId="428BF5D8" w14:textId="77777777" w:rsidR="00DF44FD" w:rsidRPr="00E54B6E" w:rsidRDefault="00DF44FD" w:rsidP="00DF44FD">
            <w:pPr>
              <w:spacing w:line="240" w:lineRule="auto"/>
              <w:contextualSpacing/>
              <w:rPr>
                <w:rFonts w:ascii="Lato" w:hAnsi="Lato" w:cs="Arial"/>
                <w:sz w:val="18"/>
                <w:szCs w:val="18"/>
              </w:rPr>
            </w:pPr>
          </w:p>
          <w:p w14:paraId="0E633B2F" w14:textId="77777777" w:rsidR="00DF44FD" w:rsidRPr="00E54B6E" w:rsidRDefault="00DF44FD" w:rsidP="00DF44FD">
            <w:pPr>
              <w:spacing w:line="240" w:lineRule="auto"/>
              <w:contextualSpacing/>
              <w:rPr>
                <w:rFonts w:ascii="Lato" w:hAnsi="Lato" w:cs="Arial"/>
                <w:sz w:val="18"/>
                <w:szCs w:val="18"/>
              </w:rPr>
            </w:pPr>
          </w:p>
          <w:p w14:paraId="0FE23A24" w14:textId="77777777" w:rsidR="00DF44FD" w:rsidRPr="00E54B6E" w:rsidRDefault="00DF44FD" w:rsidP="00DF44FD">
            <w:pPr>
              <w:spacing w:line="240" w:lineRule="auto"/>
              <w:contextualSpacing/>
              <w:rPr>
                <w:rFonts w:ascii="Lato" w:hAnsi="Lato" w:cs="Arial"/>
                <w:sz w:val="18"/>
                <w:szCs w:val="18"/>
              </w:rPr>
            </w:pPr>
          </w:p>
          <w:p w14:paraId="74DD362A" w14:textId="77777777" w:rsidR="00DF44FD" w:rsidRPr="00E54B6E" w:rsidRDefault="00DF44FD" w:rsidP="00DF44FD">
            <w:pPr>
              <w:spacing w:line="240" w:lineRule="auto"/>
              <w:contextualSpacing/>
              <w:rPr>
                <w:rFonts w:ascii="Lato" w:hAnsi="Lato" w:cs="Arial"/>
                <w:sz w:val="18"/>
                <w:szCs w:val="18"/>
              </w:rPr>
            </w:pPr>
          </w:p>
          <w:p w14:paraId="6573E736" w14:textId="77777777" w:rsidR="00DF44FD" w:rsidRPr="00E54B6E" w:rsidRDefault="00DF44FD" w:rsidP="00DF44FD">
            <w:pPr>
              <w:spacing w:line="240" w:lineRule="auto"/>
              <w:contextualSpacing/>
              <w:rPr>
                <w:rFonts w:ascii="Lato" w:hAnsi="Lato" w:cs="Arial"/>
                <w:sz w:val="18"/>
                <w:szCs w:val="18"/>
              </w:rPr>
            </w:pPr>
          </w:p>
          <w:p w14:paraId="2A79E97F" w14:textId="77777777" w:rsidR="00DF44FD" w:rsidRPr="00E54B6E" w:rsidRDefault="00DF44FD" w:rsidP="00DF44FD">
            <w:pPr>
              <w:spacing w:line="240" w:lineRule="auto"/>
              <w:contextualSpacing/>
              <w:rPr>
                <w:rFonts w:ascii="Lato" w:hAnsi="Lato" w:cs="Arial"/>
                <w:sz w:val="18"/>
                <w:szCs w:val="18"/>
              </w:rPr>
            </w:pPr>
          </w:p>
          <w:p w14:paraId="21FF6FAD" w14:textId="77777777" w:rsidR="00DF44FD" w:rsidRPr="00E54B6E" w:rsidRDefault="00DF44FD" w:rsidP="00DF44FD">
            <w:pPr>
              <w:spacing w:line="240" w:lineRule="auto"/>
              <w:contextualSpacing/>
              <w:rPr>
                <w:rFonts w:ascii="Lato" w:hAnsi="Lato" w:cs="Arial"/>
                <w:sz w:val="18"/>
                <w:szCs w:val="18"/>
              </w:rPr>
            </w:pPr>
          </w:p>
          <w:p w14:paraId="5F6BFEB6" w14:textId="77777777" w:rsidR="00DF44FD" w:rsidRPr="00E54B6E" w:rsidRDefault="00DF44FD" w:rsidP="00DF44FD">
            <w:pPr>
              <w:spacing w:line="240" w:lineRule="auto"/>
              <w:contextualSpacing/>
              <w:rPr>
                <w:rFonts w:ascii="Lato" w:hAnsi="Lato" w:cs="Arial"/>
                <w:sz w:val="18"/>
                <w:szCs w:val="18"/>
              </w:rPr>
            </w:pPr>
          </w:p>
          <w:p w14:paraId="4D17752B" w14:textId="77777777" w:rsidR="00DF44FD" w:rsidRPr="00E54B6E" w:rsidRDefault="00DF44FD" w:rsidP="00DF44FD">
            <w:pPr>
              <w:spacing w:line="240" w:lineRule="auto"/>
              <w:contextualSpacing/>
              <w:rPr>
                <w:rFonts w:ascii="Lato" w:hAnsi="Lato" w:cs="Arial"/>
                <w:sz w:val="18"/>
                <w:szCs w:val="18"/>
              </w:rPr>
            </w:pPr>
          </w:p>
          <w:p w14:paraId="17F6BF6D" w14:textId="77777777" w:rsidR="00DF44FD" w:rsidRPr="00E54B6E" w:rsidRDefault="00DF44FD" w:rsidP="00DF44FD">
            <w:pPr>
              <w:spacing w:line="240" w:lineRule="auto"/>
              <w:contextualSpacing/>
              <w:rPr>
                <w:rFonts w:ascii="Lato" w:hAnsi="Lato" w:cs="Arial"/>
                <w:sz w:val="18"/>
                <w:szCs w:val="18"/>
              </w:rPr>
            </w:pPr>
          </w:p>
          <w:p w14:paraId="701A730A" w14:textId="77777777" w:rsidR="00DF44FD" w:rsidRPr="00E54B6E" w:rsidRDefault="00DF44FD" w:rsidP="00DF44FD">
            <w:pPr>
              <w:spacing w:line="240" w:lineRule="auto"/>
              <w:contextualSpacing/>
              <w:rPr>
                <w:rFonts w:ascii="Lato" w:hAnsi="Lato" w:cs="Arial"/>
                <w:sz w:val="18"/>
                <w:szCs w:val="18"/>
              </w:rPr>
            </w:pPr>
          </w:p>
          <w:p w14:paraId="41BC3A8C" w14:textId="77777777" w:rsidR="00DF44FD" w:rsidRPr="00E54B6E" w:rsidRDefault="00DF44FD" w:rsidP="00DF44FD">
            <w:pPr>
              <w:spacing w:line="240" w:lineRule="auto"/>
              <w:contextualSpacing/>
              <w:rPr>
                <w:rFonts w:ascii="Lato" w:hAnsi="Lato" w:cs="Arial"/>
                <w:sz w:val="18"/>
                <w:szCs w:val="18"/>
              </w:rPr>
            </w:pPr>
          </w:p>
          <w:p w14:paraId="6D1EE6B2" w14:textId="77777777" w:rsidR="00DF44FD" w:rsidRPr="00E54B6E" w:rsidRDefault="00DF44FD" w:rsidP="00DF44FD">
            <w:pPr>
              <w:spacing w:line="240" w:lineRule="auto"/>
              <w:contextualSpacing/>
              <w:rPr>
                <w:rFonts w:ascii="Lato" w:hAnsi="Lato" w:cs="Arial"/>
                <w:sz w:val="18"/>
                <w:szCs w:val="18"/>
              </w:rPr>
            </w:pPr>
          </w:p>
          <w:p w14:paraId="558532B3" w14:textId="77777777" w:rsidR="00DF44FD" w:rsidRPr="00E54B6E" w:rsidRDefault="00DF44FD" w:rsidP="00DF44FD">
            <w:pPr>
              <w:spacing w:line="240" w:lineRule="auto"/>
              <w:contextualSpacing/>
              <w:rPr>
                <w:rFonts w:ascii="Lato" w:hAnsi="Lato" w:cs="Arial"/>
                <w:sz w:val="18"/>
                <w:szCs w:val="18"/>
              </w:rPr>
            </w:pPr>
          </w:p>
          <w:p w14:paraId="71F6D690" w14:textId="77777777" w:rsidR="00DF44FD" w:rsidRPr="00E54B6E" w:rsidRDefault="00DF44FD" w:rsidP="00DF44FD">
            <w:pPr>
              <w:spacing w:line="240" w:lineRule="auto"/>
              <w:contextualSpacing/>
              <w:rPr>
                <w:rFonts w:ascii="Lato" w:hAnsi="Lato" w:cs="Arial"/>
                <w:sz w:val="18"/>
                <w:szCs w:val="18"/>
              </w:rPr>
            </w:pPr>
          </w:p>
          <w:p w14:paraId="259254D7" w14:textId="77777777" w:rsidR="00DF44FD" w:rsidRPr="00E54B6E" w:rsidRDefault="00DF44FD" w:rsidP="00DF44FD">
            <w:pPr>
              <w:spacing w:line="240" w:lineRule="auto"/>
              <w:contextualSpacing/>
              <w:rPr>
                <w:rFonts w:ascii="Lato" w:hAnsi="Lato" w:cs="Arial"/>
                <w:sz w:val="18"/>
                <w:szCs w:val="18"/>
              </w:rPr>
            </w:pPr>
          </w:p>
          <w:p w14:paraId="79CD7FC3" w14:textId="77777777" w:rsidR="00DF44FD" w:rsidRPr="00E54B6E" w:rsidRDefault="00DF44FD" w:rsidP="00DF44FD">
            <w:pPr>
              <w:spacing w:line="240" w:lineRule="auto"/>
              <w:contextualSpacing/>
              <w:rPr>
                <w:rFonts w:ascii="Lato" w:hAnsi="Lato" w:cs="Arial"/>
                <w:sz w:val="18"/>
                <w:szCs w:val="18"/>
              </w:rPr>
            </w:pPr>
          </w:p>
          <w:p w14:paraId="5BAB5CDD" w14:textId="77777777" w:rsidR="00DF44FD" w:rsidRPr="00E54B6E" w:rsidRDefault="00DF44FD" w:rsidP="00DF44FD">
            <w:pPr>
              <w:spacing w:line="240" w:lineRule="auto"/>
              <w:contextualSpacing/>
              <w:rPr>
                <w:rFonts w:ascii="Lato" w:hAnsi="Lato" w:cs="Arial"/>
                <w:sz w:val="18"/>
                <w:szCs w:val="18"/>
              </w:rPr>
            </w:pPr>
            <w:r w:rsidRPr="00E54B6E">
              <w:rPr>
                <w:rFonts w:ascii="Lato" w:hAnsi="Lato" w:cs="Arial"/>
                <w:sz w:val="18"/>
                <w:szCs w:val="18"/>
              </w:rPr>
              <w:t>Ad. 6 Uwaga zasadna</w:t>
            </w:r>
          </w:p>
          <w:p w14:paraId="58168265" w14:textId="77777777" w:rsidR="00DF44FD" w:rsidRPr="00E54B6E" w:rsidRDefault="00DF44FD" w:rsidP="00DF44FD">
            <w:pPr>
              <w:spacing w:line="240" w:lineRule="auto"/>
              <w:contextualSpacing/>
              <w:rPr>
                <w:rFonts w:ascii="Lato" w:hAnsi="Lato" w:cs="Arial"/>
                <w:sz w:val="18"/>
                <w:szCs w:val="18"/>
              </w:rPr>
            </w:pPr>
            <w:r w:rsidRPr="00E54B6E">
              <w:rPr>
                <w:rFonts w:ascii="Lato" w:hAnsi="Lato" w:cs="Arial"/>
                <w:sz w:val="18"/>
                <w:szCs w:val="18"/>
              </w:rPr>
              <w:t>Uwzględniono</w:t>
            </w:r>
          </w:p>
          <w:p w14:paraId="72953D0C" w14:textId="77777777" w:rsidR="00DF44FD" w:rsidRPr="00E54B6E" w:rsidRDefault="00DF44FD" w:rsidP="00DF44FD">
            <w:pPr>
              <w:spacing w:line="240" w:lineRule="auto"/>
              <w:contextualSpacing/>
              <w:rPr>
                <w:rFonts w:ascii="Lato" w:hAnsi="Lato" w:cs="Arial"/>
                <w:sz w:val="18"/>
                <w:szCs w:val="18"/>
              </w:rPr>
            </w:pPr>
          </w:p>
          <w:p w14:paraId="6253E5D3" w14:textId="77777777" w:rsidR="00DF44FD" w:rsidRPr="00E54B6E" w:rsidRDefault="00DF44FD" w:rsidP="00DF44FD">
            <w:pPr>
              <w:spacing w:line="240" w:lineRule="auto"/>
              <w:contextualSpacing/>
              <w:rPr>
                <w:rFonts w:ascii="Lato" w:hAnsi="Lato" w:cs="Arial"/>
                <w:sz w:val="18"/>
                <w:szCs w:val="18"/>
              </w:rPr>
            </w:pPr>
          </w:p>
          <w:p w14:paraId="47A4C238" w14:textId="77777777" w:rsidR="00DF44FD" w:rsidRPr="00E54B6E" w:rsidRDefault="00DF44FD" w:rsidP="00DF44FD">
            <w:pPr>
              <w:spacing w:line="240" w:lineRule="auto"/>
              <w:contextualSpacing/>
              <w:rPr>
                <w:rFonts w:ascii="Lato" w:hAnsi="Lato" w:cs="Arial"/>
                <w:sz w:val="18"/>
                <w:szCs w:val="18"/>
              </w:rPr>
            </w:pPr>
          </w:p>
          <w:p w14:paraId="16BBADC5" w14:textId="77777777" w:rsidR="00DF44FD" w:rsidRPr="00E54B6E" w:rsidRDefault="00DF44FD" w:rsidP="00DF44FD">
            <w:pPr>
              <w:spacing w:line="240" w:lineRule="auto"/>
              <w:contextualSpacing/>
              <w:rPr>
                <w:rFonts w:ascii="Lato" w:hAnsi="Lato" w:cs="Arial"/>
                <w:sz w:val="18"/>
                <w:szCs w:val="18"/>
              </w:rPr>
            </w:pPr>
          </w:p>
          <w:p w14:paraId="0BBF502B" w14:textId="77777777" w:rsidR="00E54B6E" w:rsidRDefault="00E54B6E" w:rsidP="00DF44FD">
            <w:pPr>
              <w:spacing w:line="240" w:lineRule="auto"/>
              <w:contextualSpacing/>
              <w:rPr>
                <w:rFonts w:ascii="Lato" w:hAnsi="Lato" w:cs="Arial"/>
                <w:sz w:val="18"/>
                <w:szCs w:val="18"/>
              </w:rPr>
            </w:pPr>
          </w:p>
          <w:p w14:paraId="6E41E357" w14:textId="77777777" w:rsidR="00E54B6E" w:rsidRDefault="00E54B6E" w:rsidP="00DF44FD">
            <w:pPr>
              <w:spacing w:line="240" w:lineRule="auto"/>
              <w:contextualSpacing/>
              <w:rPr>
                <w:rFonts w:ascii="Lato" w:hAnsi="Lato" w:cs="Arial"/>
                <w:sz w:val="18"/>
                <w:szCs w:val="18"/>
              </w:rPr>
            </w:pPr>
          </w:p>
          <w:p w14:paraId="61F93196" w14:textId="77777777" w:rsidR="00E54B6E" w:rsidRDefault="00E54B6E" w:rsidP="00DF44FD">
            <w:pPr>
              <w:spacing w:line="240" w:lineRule="auto"/>
              <w:contextualSpacing/>
              <w:rPr>
                <w:rFonts w:ascii="Lato" w:hAnsi="Lato" w:cs="Arial"/>
                <w:sz w:val="18"/>
                <w:szCs w:val="18"/>
              </w:rPr>
            </w:pPr>
          </w:p>
          <w:p w14:paraId="2BF637A3" w14:textId="77777777" w:rsidR="00E54B6E" w:rsidRDefault="00E54B6E" w:rsidP="00DF44FD">
            <w:pPr>
              <w:spacing w:line="240" w:lineRule="auto"/>
              <w:contextualSpacing/>
              <w:rPr>
                <w:rFonts w:ascii="Lato" w:hAnsi="Lato" w:cs="Arial"/>
                <w:sz w:val="18"/>
                <w:szCs w:val="18"/>
              </w:rPr>
            </w:pPr>
          </w:p>
          <w:p w14:paraId="50DF897C" w14:textId="77777777" w:rsidR="00E54B6E" w:rsidRDefault="00E54B6E" w:rsidP="00DF44FD">
            <w:pPr>
              <w:spacing w:line="240" w:lineRule="auto"/>
              <w:contextualSpacing/>
              <w:rPr>
                <w:rFonts w:ascii="Lato" w:hAnsi="Lato" w:cs="Arial"/>
                <w:sz w:val="18"/>
                <w:szCs w:val="18"/>
              </w:rPr>
            </w:pPr>
          </w:p>
          <w:p w14:paraId="616F7C49" w14:textId="77777777" w:rsidR="00E54B6E" w:rsidRDefault="00E54B6E" w:rsidP="00DF44FD">
            <w:pPr>
              <w:spacing w:line="240" w:lineRule="auto"/>
              <w:contextualSpacing/>
              <w:rPr>
                <w:rFonts w:ascii="Lato" w:hAnsi="Lato" w:cs="Arial"/>
                <w:sz w:val="18"/>
                <w:szCs w:val="18"/>
              </w:rPr>
            </w:pPr>
          </w:p>
          <w:p w14:paraId="51DA2A89" w14:textId="77777777" w:rsidR="00E54B6E" w:rsidRDefault="00E54B6E" w:rsidP="00DF44FD">
            <w:pPr>
              <w:spacing w:line="240" w:lineRule="auto"/>
              <w:contextualSpacing/>
              <w:rPr>
                <w:rFonts w:ascii="Lato" w:hAnsi="Lato" w:cs="Arial"/>
                <w:sz w:val="18"/>
                <w:szCs w:val="18"/>
              </w:rPr>
            </w:pPr>
          </w:p>
          <w:p w14:paraId="17C91465" w14:textId="77777777" w:rsidR="00E54B6E" w:rsidRDefault="00E54B6E" w:rsidP="00DF44FD">
            <w:pPr>
              <w:spacing w:line="240" w:lineRule="auto"/>
              <w:contextualSpacing/>
              <w:rPr>
                <w:rFonts w:ascii="Lato" w:hAnsi="Lato" w:cs="Arial"/>
                <w:sz w:val="18"/>
                <w:szCs w:val="18"/>
              </w:rPr>
            </w:pPr>
          </w:p>
          <w:p w14:paraId="25F70E7F" w14:textId="77777777" w:rsidR="00E54B6E" w:rsidRDefault="00E54B6E" w:rsidP="00DF44FD">
            <w:pPr>
              <w:spacing w:line="240" w:lineRule="auto"/>
              <w:contextualSpacing/>
              <w:rPr>
                <w:rFonts w:ascii="Lato" w:hAnsi="Lato" w:cs="Arial"/>
                <w:sz w:val="18"/>
                <w:szCs w:val="18"/>
              </w:rPr>
            </w:pPr>
          </w:p>
          <w:p w14:paraId="561E5345" w14:textId="77777777" w:rsidR="00E54B6E" w:rsidRDefault="00E54B6E" w:rsidP="00DF44FD">
            <w:pPr>
              <w:spacing w:line="240" w:lineRule="auto"/>
              <w:contextualSpacing/>
              <w:rPr>
                <w:rFonts w:ascii="Lato" w:hAnsi="Lato" w:cs="Arial"/>
                <w:sz w:val="18"/>
                <w:szCs w:val="18"/>
              </w:rPr>
            </w:pPr>
          </w:p>
          <w:p w14:paraId="525C2ABF" w14:textId="77777777" w:rsidR="00E54B6E" w:rsidRDefault="00E54B6E" w:rsidP="00DF44FD">
            <w:pPr>
              <w:spacing w:line="240" w:lineRule="auto"/>
              <w:contextualSpacing/>
              <w:rPr>
                <w:rFonts w:ascii="Lato" w:hAnsi="Lato" w:cs="Arial"/>
                <w:sz w:val="18"/>
                <w:szCs w:val="18"/>
              </w:rPr>
            </w:pPr>
          </w:p>
          <w:p w14:paraId="2B843CDE" w14:textId="77777777" w:rsidR="00E54B6E" w:rsidRDefault="00E54B6E" w:rsidP="00DF44FD">
            <w:pPr>
              <w:spacing w:line="240" w:lineRule="auto"/>
              <w:contextualSpacing/>
              <w:rPr>
                <w:rFonts w:ascii="Lato" w:hAnsi="Lato" w:cs="Arial"/>
                <w:sz w:val="18"/>
                <w:szCs w:val="18"/>
              </w:rPr>
            </w:pPr>
          </w:p>
          <w:p w14:paraId="5E01424B" w14:textId="77777777" w:rsidR="00E54B6E" w:rsidRDefault="00E54B6E" w:rsidP="00DF44FD">
            <w:pPr>
              <w:spacing w:line="240" w:lineRule="auto"/>
              <w:contextualSpacing/>
              <w:rPr>
                <w:rFonts w:ascii="Lato" w:hAnsi="Lato" w:cs="Arial"/>
                <w:sz w:val="18"/>
                <w:szCs w:val="18"/>
              </w:rPr>
            </w:pPr>
          </w:p>
          <w:p w14:paraId="03F967C0" w14:textId="77777777" w:rsidR="00E54B6E" w:rsidRDefault="00E54B6E" w:rsidP="00DF44FD">
            <w:pPr>
              <w:spacing w:line="240" w:lineRule="auto"/>
              <w:contextualSpacing/>
              <w:rPr>
                <w:rFonts w:ascii="Lato" w:hAnsi="Lato" w:cs="Arial"/>
                <w:sz w:val="18"/>
                <w:szCs w:val="18"/>
              </w:rPr>
            </w:pPr>
          </w:p>
          <w:p w14:paraId="5597D308" w14:textId="71592550" w:rsidR="00DF44FD" w:rsidRPr="00E54B6E" w:rsidRDefault="00DF44FD" w:rsidP="00DF44FD">
            <w:pPr>
              <w:spacing w:line="240" w:lineRule="auto"/>
              <w:contextualSpacing/>
              <w:rPr>
                <w:rFonts w:ascii="Lato" w:hAnsi="Lato" w:cs="Arial"/>
                <w:sz w:val="18"/>
                <w:szCs w:val="18"/>
              </w:rPr>
            </w:pPr>
            <w:r w:rsidRPr="00E54B6E">
              <w:rPr>
                <w:rFonts w:ascii="Lato" w:hAnsi="Lato" w:cs="Arial"/>
                <w:sz w:val="18"/>
                <w:szCs w:val="18"/>
              </w:rPr>
              <w:t>Ad. 7 Uwaga zasadna</w:t>
            </w:r>
          </w:p>
          <w:p w14:paraId="3C87AD01" w14:textId="77777777" w:rsidR="00DF44FD" w:rsidRPr="00E54B6E" w:rsidRDefault="00DF44FD" w:rsidP="00DF44FD">
            <w:pPr>
              <w:spacing w:line="240" w:lineRule="auto"/>
              <w:contextualSpacing/>
              <w:rPr>
                <w:rFonts w:ascii="Lato" w:hAnsi="Lato" w:cs="Arial"/>
                <w:sz w:val="18"/>
                <w:szCs w:val="18"/>
              </w:rPr>
            </w:pPr>
            <w:r w:rsidRPr="00E54B6E">
              <w:rPr>
                <w:rFonts w:ascii="Lato" w:hAnsi="Lato" w:cs="Arial"/>
                <w:sz w:val="18"/>
                <w:szCs w:val="18"/>
              </w:rPr>
              <w:t>Uwzględniono</w:t>
            </w:r>
          </w:p>
          <w:p w14:paraId="3C04DAB4" w14:textId="77777777" w:rsidR="00DF44FD" w:rsidRPr="00E54B6E" w:rsidRDefault="00DF44FD" w:rsidP="00DF44FD">
            <w:pPr>
              <w:spacing w:line="240" w:lineRule="auto"/>
              <w:contextualSpacing/>
              <w:rPr>
                <w:rFonts w:ascii="Lato" w:hAnsi="Lato" w:cs="Arial"/>
                <w:sz w:val="18"/>
                <w:szCs w:val="18"/>
              </w:rPr>
            </w:pPr>
          </w:p>
          <w:p w14:paraId="2146EEFA" w14:textId="77777777" w:rsidR="00DF44FD" w:rsidRPr="00E54B6E" w:rsidRDefault="00DF44FD" w:rsidP="00DF44FD">
            <w:pPr>
              <w:spacing w:line="240" w:lineRule="auto"/>
              <w:contextualSpacing/>
              <w:rPr>
                <w:rFonts w:ascii="Lato" w:hAnsi="Lato" w:cs="Arial"/>
                <w:sz w:val="18"/>
                <w:szCs w:val="18"/>
              </w:rPr>
            </w:pPr>
          </w:p>
          <w:p w14:paraId="394AC084" w14:textId="77777777" w:rsidR="00DF44FD" w:rsidRPr="00E54B6E" w:rsidRDefault="00DF44FD" w:rsidP="00DF44FD">
            <w:pPr>
              <w:spacing w:line="240" w:lineRule="auto"/>
              <w:contextualSpacing/>
              <w:rPr>
                <w:rFonts w:ascii="Lato" w:hAnsi="Lato" w:cs="Arial"/>
                <w:sz w:val="18"/>
                <w:szCs w:val="18"/>
              </w:rPr>
            </w:pPr>
          </w:p>
          <w:p w14:paraId="03C85DAD" w14:textId="77777777" w:rsidR="00DF44FD" w:rsidRPr="00E54B6E" w:rsidRDefault="00DF44FD" w:rsidP="00DF44FD">
            <w:pPr>
              <w:spacing w:line="240" w:lineRule="auto"/>
              <w:contextualSpacing/>
              <w:rPr>
                <w:rFonts w:ascii="Lato" w:hAnsi="Lato" w:cs="Arial"/>
                <w:sz w:val="18"/>
                <w:szCs w:val="18"/>
              </w:rPr>
            </w:pPr>
          </w:p>
          <w:p w14:paraId="38BE6188" w14:textId="77777777" w:rsidR="00DF44FD" w:rsidRPr="00E54B6E" w:rsidRDefault="00DF44FD" w:rsidP="00DF44FD">
            <w:pPr>
              <w:spacing w:line="240" w:lineRule="auto"/>
              <w:contextualSpacing/>
              <w:rPr>
                <w:rFonts w:ascii="Lato" w:hAnsi="Lato" w:cs="Arial"/>
                <w:sz w:val="18"/>
                <w:szCs w:val="18"/>
              </w:rPr>
            </w:pPr>
          </w:p>
          <w:p w14:paraId="7AB07445" w14:textId="77777777" w:rsidR="00DF44FD" w:rsidRPr="00E54B6E" w:rsidRDefault="00DF44FD" w:rsidP="00DF44FD">
            <w:pPr>
              <w:spacing w:line="240" w:lineRule="auto"/>
              <w:contextualSpacing/>
              <w:rPr>
                <w:rFonts w:ascii="Lato" w:hAnsi="Lato" w:cs="Arial"/>
                <w:sz w:val="18"/>
                <w:szCs w:val="18"/>
              </w:rPr>
            </w:pPr>
          </w:p>
          <w:p w14:paraId="5E698169" w14:textId="77777777" w:rsidR="00DF44FD" w:rsidRPr="00E54B6E" w:rsidRDefault="00DF44FD" w:rsidP="00DF44FD">
            <w:pPr>
              <w:spacing w:line="240" w:lineRule="auto"/>
              <w:contextualSpacing/>
              <w:rPr>
                <w:rFonts w:ascii="Lato" w:hAnsi="Lato" w:cs="Arial"/>
                <w:sz w:val="18"/>
                <w:szCs w:val="18"/>
              </w:rPr>
            </w:pPr>
          </w:p>
          <w:p w14:paraId="10968D36" w14:textId="77777777" w:rsidR="00DF44FD" w:rsidRPr="00E54B6E" w:rsidRDefault="00DF44FD" w:rsidP="00DF44FD">
            <w:pPr>
              <w:spacing w:line="240" w:lineRule="auto"/>
              <w:contextualSpacing/>
              <w:rPr>
                <w:rFonts w:ascii="Lato" w:hAnsi="Lato" w:cs="Arial"/>
                <w:sz w:val="18"/>
                <w:szCs w:val="18"/>
              </w:rPr>
            </w:pPr>
          </w:p>
          <w:p w14:paraId="7AB411F4" w14:textId="77777777" w:rsidR="00DF44FD" w:rsidRPr="00E54B6E" w:rsidRDefault="00DF44FD" w:rsidP="00DF44FD">
            <w:pPr>
              <w:spacing w:line="240" w:lineRule="auto"/>
              <w:contextualSpacing/>
              <w:rPr>
                <w:rFonts w:ascii="Lato" w:hAnsi="Lato" w:cs="Arial"/>
                <w:sz w:val="18"/>
                <w:szCs w:val="18"/>
              </w:rPr>
            </w:pPr>
          </w:p>
          <w:p w14:paraId="6921A677" w14:textId="77777777" w:rsidR="00DF44FD" w:rsidRPr="00E54B6E" w:rsidRDefault="00DF44FD" w:rsidP="00DF44FD">
            <w:pPr>
              <w:spacing w:line="240" w:lineRule="auto"/>
              <w:contextualSpacing/>
              <w:rPr>
                <w:rFonts w:ascii="Lato" w:hAnsi="Lato" w:cs="Arial"/>
                <w:sz w:val="18"/>
                <w:szCs w:val="18"/>
              </w:rPr>
            </w:pPr>
          </w:p>
          <w:p w14:paraId="4AFC0191" w14:textId="77777777" w:rsidR="00DF44FD" w:rsidRPr="00E54B6E" w:rsidRDefault="00DF44FD" w:rsidP="00DF44FD">
            <w:pPr>
              <w:spacing w:line="240" w:lineRule="auto"/>
              <w:contextualSpacing/>
              <w:rPr>
                <w:rFonts w:ascii="Lato" w:hAnsi="Lato" w:cs="Arial"/>
                <w:sz w:val="18"/>
                <w:szCs w:val="18"/>
              </w:rPr>
            </w:pPr>
          </w:p>
          <w:p w14:paraId="40D4E574" w14:textId="77777777" w:rsidR="00DF44FD" w:rsidRPr="00E54B6E" w:rsidRDefault="00DF44FD" w:rsidP="00DF44FD">
            <w:pPr>
              <w:spacing w:line="240" w:lineRule="auto"/>
              <w:contextualSpacing/>
              <w:rPr>
                <w:rFonts w:ascii="Lato" w:hAnsi="Lato" w:cs="Arial"/>
                <w:sz w:val="18"/>
                <w:szCs w:val="18"/>
              </w:rPr>
            </w:pPr>
          </w:p>
          <w:p w14:paraId="42735B72" w14:textId="77777777" w:rsidR="00DF44FD" w:rsidRPr="00E54B6E" w:rsidRDefault="00DF44FD" w:rsidP="00DF44FD">
            <w:pPr>
              <w:spacing w:line="240" w:lineRule="auto"/>
              <w:contextualSpacing/>
              <w:rPr>
                <w:rFonts w:ascii="Lato" w:hAnsi="Lato" w:cs="Arial"/>
                <w:sz w:val="18"/>
                <w:szCs w:val="18"/>
              </w:rPr>
            </w:pPr>
          </w:p>
          <w:p w14:paraId="5E88091E" w14:textId="77777777" w:rsidR="00DF44FD" w:rsidRPr="00E54B6E" w:rsidRDefault="00DF44FD" w:rsidP="00DF44FD">
            <w:pPr>
              <w:spacing w:line="240" w:lineRule="auto"/>
              <w:contextualSpacing/>
              <w:rPr>
                <w:rFonts w:ascii="Lato" w:hAnsi="Lato" w:cs="Arial"/>
                <w:sz w:val="18"/>
                <w:szCs w:val="18"/>
              </w:rPr>
            </w:pPr>
          </w:p>
          <w:p w14:paraId="23D2A289" w14:textId="77777777" w:rsidR="00DF44FD" w:rsidRPr="00E54B6E" w:rsidRDefault="00DF44FD" w:rsidP="00DF44FD">
            <w:pPr>
              <w:spacing w:line="240" w:lineRule="auto"/>
              <w:contextualSpacing/>
              <w:rPr>
                <w:rFonts w:ascii="Lato" w:hAnsi="Lato" w:cs="Arial"/>
                <w:sz w:val="18"/>
                <w:szCs w:val="18"/>
              </w:rPr>
            </w:pPr>
          </w:p>
          <w:p w14:paraId="62B2250E" w14:textId="77777777" w:rsidR="00DF44FD" w:rsidRPr="00E54B6E" w:rsidRDefault="00DF44FD" w:rsidP="00DF44FD">
            <w:pPr>
              <w:spacing w:line="240" w:lineRule="auto"/>
              <w:contextualSpacing/>
              <w:rPr>
                <w:rFonts w:ascii="Lato" w:hAnsi="Lato" w:cs="Arial"/>
                <w:sz w:val="18"/>
                <w:szCs w:val="18"/>
              </w:rPr>
            </w:pPr>
          </w:p>
          <w:p w14:paraId="67446845" w14:textId="77777777" w:rsidR="00DF44FD" w:rsidRPr="00E54B6E" w:rsidRDefault="00DF44FD" w:rsidP="00DF44FD">
            <w:pPr>
              <w:spacing w:line="240" w:lineRule="auto"/>
              <w:contextualSpacing/>
              <w:rPr>
                <w:rFonts w:ascii="Lato" w:hAnsi="Lato" w:cs="Arial"/>
                <w:sz w:val="18"/>
                <w:szCs w:val="18"/>
              </w:rPr>
            </w:pPr>
          </w:p>
          <w:p w14:paraId="46610545" w14:textId="77777777" w:rsidR="00DF44FD" w:rsidRPr="00E54B6E" w:rsidRDefault="00DF44FD" w:rsidP="00DF44FD">
            <w:pPr>
              <w:spacing w:line="240" w:lineRule="auto"/>
              <w:contextualSpacing/>
              <w:rPr>
                <w:rFonts w:ascii="Lato" w:hAnsi="Lato" w:cs="Arial"/>
                <w:sz w:val="18"/>
                <w:szCs w:val="18"/>
              </w:rPr>
            </w:pPr>
          </w:p>
          <w:p w14:paraId="1313F89E" w14:textId="77777777" w:rsidR="00DF44FD" w:rsidRPr="00E54B6E" w:rsidRDefault="00DF44FD" w:rsidP="00DF44FD">
            <w:pPr>
              <w:spacing w:line="240" w:lineRule="auto"/>
              <w:contextualSpacing/>
              <w:rPr>
                <w:rFonts w:ascii="Lato" w:hAnsi="Lato" w:cs="Arial"/>
                <w:sz w:val="18"/>
                <w:szCs w:val="18"/>
              </w:rPr>
            </w:pPr>
          </w:p>
          <w:p w14:paraId="003582FE" w14:textId="77777777" w:rsidR="00DF44FD" w:rsidRPr="00E54B6E" w:rsidRDefault="00DF44FD" w:rsidP="00DF44FD">
            <w:pPr>
              <w:spacing w:line="240" w:lineRule="auto"/>
              <w:contextualSpacing/>
              <w:rPr>
                <w:rFonts w:ascii="Lato" w:hAnsi="Lato" w:cs="Arial"/>
                <w:sz w:val="18"/>
                <w:szCs w:val="18"/>
              </w:rPr>
            </w:pPr>
          </w:p>
          <w:p w14:paraId="5C97978E" w14:textId="77777777" w:rsidR="00DF44FD" w:rsidRPr="00E54B6E" w:rsidRDefault="00DF44FD" w:rsidP="00DF44FD">
            <w:pPr>
              <w:spacing w:line="240" w:lineRule="auto"/>
              <w:contextualSpacing/>
              <w:rPr>
                <w:rFonts w:ascii="Lato" w:hAnsi="Lato" w:cs="Arial"/>
                <w:sz w:val="18"/>
                <w:szCs w:val="18"/>
              </w:rPr>
            </w:pPr>
            <w:r w:rsidRPr="00E54B6E">
              <w:rPr>
                <w:rFonts w:ascii="Lato" w:hAnsi="Lato" w:cs="Arial"/>
                <w:sz w:val="18"/>
                <w:szCs w:val="18"/>
              </w:rPr>
              <w:t>Ad. 8 Uwaga zasadna</w:t>
            </w:r>
          </w:p>
          <w:p w14:paraId="3E9E0FE8" w14:textId="77777777" w:rsidR="00DF44FD" w:rsidRPr="00E54B6E" w:rsidRDefault="00DF44FD" w:rsidP="00DF44FD">
            <w:pPr>
              <w:spacing w:line="240" w:lineRule="auto"/>
              <w:contextualSpacing/>
              <w:rPr>
                <w:rFonts w:ascii="Lato" w:hAnsi="Lato" w:cs="Arial"/>
                <w:sz w:val="18"/>
                <w:szCs w:val="18"/>
              </w:rPr>
            </w:pPr>
            <w:r w:rsidRPr="00E54B6E">
              <w:rPr>
                <w:rFonts w:ascii="Lato" w:hAnsi="Lato" w:cs="Arial"/>
                <w:sz w:val="18"/>
                <w:szCs w:val="18"/>
              </w:rPr>
              <w:t>Uwzględniono</w:t>
            </w:r>
          </w:p>
          <w:p w14:paraId="50D511A5" w14:textId="77777777" w:rsidR="00DF44FD" w:rsidRPr="00E54B6E" w:rsidRDefault="00DF44FD" w:rsidP="00DF44FD">
            <w:pPr>
              <w:spacing w:line="240" w:lineRule="auto"/>
              <w:contextualSpacing/>
              <w:rPr>
                <w:rFonts w:ascii="Lato" w:hAnsi="Lato" w:cs="Arial"/>
                <w:sz w:val="18"/>
                <w:szCs w:val="18"/>
              </w:rPr>
            </w:pPr>
          </w:p>
          <w:p w14:paraId="1912C308" w14:textId="77777777" w:rsidR="00DF44FD" w:rsidRPr="00E54B6E" w:rsidRDefault="00DF44FD" w:rsidP="00DF44FD">
            <w:pPr>
              <w:spacing w:line="240" w:lineRule="auto"/>
              <w:contextualSpacing/>
              <w:rPr>
                <w:rFonts w:ascii="Lato" w:hAnsi="Lato" w:cs="Arial"/>
                <w:sz w:val="18"/>
                <w:szCs w:val="18"/>
              </w:rPr>
            </w:pPr>
          </w:p>
          <w:p w14:paraId="7FD0C672" w14:textId="77777777" w:rsidR="00DF44FD" w:rsidRPr="00E54B6E" w:rsidRDefault="00DF44FD" w:rsidP="00DF44FD">
            <w:pPr>
              <w:spacing w:line="240" w:lineRule="auto"/>
              <w:contextualSpacing/>
              <w:rPr>
                <w:rFonts w:ascii="Lato" w:hAnsi="Lato" w:cs="Arial"/>
                <w:sz w:val="18"/>
                <w:szCs w:val="18"/>
              </w:rPr>
            </w:pPr>
          </w:p>
          <w:p w14:paraId="0759FAA1" w14:textId="77777777" w:rsidR="00DF44FD" w:rsidRPr="00E54B6E" w:rsidRDefault="00DF44FD" w:rsidP="00DF44FD">
            <w:pPr>
              <w:spacing w:line="240" w:lineRule="auto"/>
              <w:contextualSpacing/>
              <w:rPr>
                <w:rFonts w:ascii="Lato" w:hAnsi="Lato" w:cs="Arial"/>
                <w:sz w:val="18"/>
                <w:szCs w:val="18"/>
              </w:rPr>
            </w:pPr>
          </w:p>
          <w:p w14:paraId="21F0A5AB" w14:textId="77777777" w:rsidR="00DF44FD" w:rsidRPr="00E54B6E" w:rsidRDefault="00DF44FD" w:rsidP="00DF44FD">
            <w:pPr>
              <w:spacing w:line="240" w:lineRule="auto"/>
              <w:contextualSpacing/>
              <w:rPr>
                <w:rFonts w:ascii="Lato" w:hAnsi="Lato" w:cs="Arial"/>
                <w:sz w:val="18"/>
                <w:szCs w:val="18"/>
              </w:rPr>
            </w:pPr>
          </w:p>
          <w:p w14:paraId="281046EC" w14:textId="77777777" w:rsidR="00DF44FD" w:rsidRPr="00E54B6E" w:rsidRDefault="00DF44FD" w:rsidP="00DF44FD">
            <w:pPr>
              <w:spacing w:line="240" w:lineRule="auto"/>
              <w:contextualSpacing/>
              <w:rPr>
                <w:rFonts w:ascii="Lato" w:hAnsi="Lato" w:cs="Arial"/>
                <w:sz w:val="18"/>
                <w:szCs w:val="18"/>
              </w:rPr>
            </w:pPr>
          </w:p>
          <w:p w14:paraId="137D8F3F" w14:textId="77777777" w:rsidR="00DF44FD" w:rsidRPr="00E54B6E" w:rsidRDefault="00DF44FD" w:rsidP="00DF44FD">
            <w:pPr>
              <w:spacing w:line="240" w:lineRule="auto"/>
              <w:contextualSpacing/>
              <w:rPr>
                <w:rFonts w:ascii="Lato" w:hAnsi="Lato" w:cs="Arial"/>
                <w:sz w:val="18"/>
                <w:szCs w:val="18"/>
              </w:rPr>
            </w:pPr>
          </w:p>
          <w:p w14:paraId="52ED309D" w14:textId="77777777" w:rsidR="00DF44FD" w:rsidRPr="00E54B6E" w:rsidRDefault="00DF44FD" w:rsidP="00DF44FD">
            <w:pPr>
              <w:spacing w:line="240" w:lineRule="auto"/>
              <w:contextualSpacing/>
              <w:rPr>
                <w:rFonts w:ascii="Lato" w:hAnsi="Lato" w:cs="Arial"/>
                <w:sz w:val="18"/>
                <w:szCs w:val="18"/>
              </w:rPr>
            </w:pPr>
          </w:p>
          <w:p w14:paraId="706ED0DF" w14:textId="77777777" w:rsidR="00DF44FD" w:rsidRPr="00E54B6E" w:rsidRDefault="00DF44FD" w:rsidP="00DF44FD">
            <w:pPr>
              <w:spacing w:line="240" w:lineRule="auto"/>
              <w:contextualSpacing/>
              <w:rPr>
                <w:rFonts w:ascii="Lato" w:hAnsi="Lato" w:cs="Arial"/>
                <w:sz w:val="18"/>
                <w:szCs w:val="18"/>
              </w:rPr>
            </w:pPr>
          </w:p>
          <w:p w14:paraId="664FF30B" w14:textId="77777777" w:rsidR="00DF44FD" w:rsidRPr="00E54B6E" w:rsidRDefault="00DF44FD" w:rsidP="00DF44FD">
            <w:pPr>
              <w:spacing w:line="240" w:lineRule="auto"/>
              <w:contextualSpacing/>
              <w:rPr>
                <w:rFonts w:ascii="Lato" w:hAnsi="Lato" w:cs="Arial"/>
                <w:sz w:val="18"/>
                <w:szCs w:val="18"/>
              </w:rPr>
            </w:pPr>
          </w:p>
          <w:p w14:paraId="242BECE7" w14:textId="77777777" w:rsidR="00DF44FD" w:rsidRPr="00E54B6E" w:rsidRDefault="00DF44FD" w:rsidP="00DF44FD">
            <w:pPr>
              <w:spacing w:line="240" w:lineRule="auto"/>
              <w:contextualSpacing/>
              <w:rPr>
                <w:rFonts w:ascii="Lato" w:hAnsi="Lato" w:cs="Arial"/>
                <w:sz w:val="18"/>
                <w:szCs w:val="18"/>
              </w:rPr>
            </w:pPr>
          </w:p>
          <w:p w14:paraId="442C0FB7" w14:textId="77777777" w:rsidR="00DF44FD" w:rsidRPr="00E54B6E" w:rsidRDefault="00DF44FD" w:rsidP="00DF44FD">
            <w:pPr>
              <w:spacing w:line="240" w:lineRule="auto"/>
              <w:contextualSpacing/>
              <w:rPr>
                <w:rFonts w:ascii="Lato" w:hAnsi="Lato" w:cs="Arial"/>
                <w:sz w:val="18"/>
                <w:szCs w:val="18"/>
              </w:rPr>
            </w:pPr>
          </w:p>
          <w:p w14:paraId="6963C95A" w14:textId="77777777" w:rsidR="00DF44FD" w:rsidRPr="00E54B6E" w:rsidRDefault="00DF44FD" w:rsidP="00DF44FD">
            <w:pPr>
              <w:spacing w:line="240" w:lineRule="auto"/>
              <w:contextualSpacing/>
              <w:rPr>
                <w:rFonts w:ascii="Lato" w:hAnsi="Lato" w:cs="Arial"/>
                <w:sz w:val="18"/>
                <w:szCs w:val="18"/>
              </w:rPr>
            </w:pPr>
          </w:p>
          <w:p w14:paraId="343074C9" w14:textId="77777777" w:rsidR="00DF44FD" w:rsidRPr="00E54B6E" w:rsidRDefault="00DF44FD" w:rsidP="00DF44FD">
            <w:pPr>
              <w:spacing w:line="240" w:lineRule="auto"/>
              <w:contextualSpacing/>
              <w:rPr>
                <w:rFonts w:ascii="Lato" w:hAnsi="Lato" w:cs="Arial"/>
                <w:sz w:val="18"/>
                <w:szCs w:val="18"/>
              </w:rPr>
            </w:pPr>
          </w:p>
          <w:p w14:paraId="41FD1CDC" w14:textId="77777777" w:rsidR="00DF44FD" w:rsidRPr="00E54B6E" w:rsidRDefault="00DF44FD" w:rsidP="00DF44FD">
            <w:pPr>
              <w:spacing w:line="240" w:lineRule="auto"/>
              <w:contextualSpacing/>
              <w:rPr>
                <w:rFonts w:ascii="Lato" w:hAnsi="Lato" w:cs="Arial"/>
                <w:sz w:val="18"/>
                <w:szCs w:val="18"/>
              </w:rPr>
            </w:pPr>
          </w:p>
          <w:p w14:paraId="2648F598" w14:textId="77777777" w:rsidR="00DF44FD" w:rsidRPr="00E54B6E" w:rsidRDefault="00DF44FD" w:rsidP="00DF44FD">
            <w:pPr>
              <w:spacing w:line="240" w:lineRule="auto"/>
              <w:contextualSpacing/>
              <w:rPr>
                <w:rFonts w:ascii="Lato" w:hAnsi="Lato" w:cs="Arial"/>
                <w:sz w:val="18"/>
                <w:szCs w:val="18"/>
              </w:rPr>
            </w:pPr>
          </w:p>
          <w:p w14:paraId="5802A19B" w14:textId="77777777" w:rsidR="00DF44FD" w:rsidRPr="00E54B6E" w:rsidRDefault="00DF44FD" w:rsidP="00DF44FD">
            <w:pPr>
              <w:spacing w:line="240" w:lineRule="auto"/>
              <w:contextualSpacing/>
              <w:rPr>
                <w:rFonts w:ascii="Lato" w:hAnsi="Lato" w:cs="Arial"/>
                <w:sz w:val="18"/>
                <w:szCs w:val="18"/>
              </w:rPr>
            </w:pPr>
          </w:p>
          <w:p w14:paraId="77FEABE5" w14:textId="77777777" w:rsidR="00DF44FD" w:rsidRPr="00E54B6E" w:rsidRDefault="00DF44FD" w:rsidP="00DF44FD">
            <w:pPr>
              <w:spacing w:line="240" w:lineRule="auto"/>
              <w:contextualSpacing/>
              <w:rPr>
                <w:rFonts w:ascii="Lato" w:hAnsi="Lato" w:cs="Arial"/>
                <w:sz w:val="18"/>
                <w:szCs w:val="18"/>
              </w:rPr>
            </w:pPr>
          </w:p>
          <w:p w14:paraId="00156250" w14:textId="77777777" w:rsidR="00DF44FD" w:rsidRPr="00E54B6E" w:rsidRDefault="00DF44FD" w:rsidP="00DF44FD">
            <w:pPr>
              <w:spacing w:line="240" w:lineRule="auto"/>
              <w:contextualSpacing/>
              <w:rPr>
                <w:rFonts w:ascii="Lato" w:hAnsi="Lato" w:cs="Arial"/>
                <w:sz w:val="18"/>
                <w:szCs w:val="18"/>
              </w:rPr>
            </w:pPr>
          </w:p>
          <w:p w14:paraId="4F693CC0" w14:textId="77777777" w:rsidR="00DF44FD" w:rsidRPr="00E54B6E" w:rsidRDefault="00DF44FD" w:rsidP="00DF44FD">
            <w:pPr>
              <w:spacing w:line="240" w:lineRule="auto"/>
              <w:contextualSpacing/>
              <w:rPr>
                <w:rFonts w:ascii="Lato" w:hAnsi="Lato" w:cs="Arial"/>
                <w:sz w:val="18"/>
                <w:szCs w:val="18"/>
              </w:rPr>
            </w:pPr>
            <w:r w:rsidRPr="00E54B6E">
              <w:rPr>
                <w:rFonts w:ascii="Lato" w:hAnsi="Lato" w:cs="Arial"/>
                <w:sz w:val="18"/>
                <w:szCs w:val="18"/>
              </w:rPr>
              <w:t>Ad. 9 Uwaga zasadna</w:t>
            </w:r>
          </w:p>
          <w:p w14:paraId="134C799B" w14:textId="77777777" w:rsidR="00DF44FD" w:rsidRPr="00E54B6E" w:rsidRDefault="00DF44FD" w:rsidP="00DF44FD">
            <w:pPr>
              <w:spacing w:line="240" w:lineRule="auto"/>
              <w:contextualSpacing/>
              <w:rPr>
                <w:rFonts w:ascii="Lato" w:hAnsi="Lato" w:cs="Arial"/>
                <w:sz w:val="18"/>
                <w:szCs w:val="18"/>
              </w:rPr>
            </w:pPr>
            <w:r w:rsidRPr="00E54B6E">
              <w:rPr>
                <w:rFonts w:ascii="Lato" w:hAnsi="Lato" w:cs="Arial"/>
                <w:sz w:val="18"/>
                <w:szCs w:val="18"/>
              </w:rPr>
              <w:t>uwzględniono</w:t>
            </w:r>
          </w:p>
        </w:tc>
      </w:tr>
      <w:tr w:rsidR="00DF44FD" w14:paraId="705B8CC8" w14:textId="77777777" w:rsidTr="00DF44FD">
        <w:trPr>
          <w:trHeight w:val="276"/>
        </w:trPr>
        <w:tc>
          <w:tcPr>
            <w:tcW w:w="562" w:type="dxa"/>
            <w:tcBorders>
              <w:top w:val="single" w:sz="4" w:space="0" w:color="auto"/>
              <w:left w:val="single" w:sz="4" w:space="0" w:color="auto"/>
              <w:bottom w:val="single" w:sz="4" w:space="0" w:color="auto"/>
              <w:right w:val="single" w:sz="4" w:space="0" w:color="auto"/>
            </w:tcBorders>
            <w:vAlign w:val="center"/>
          </w:tcPr>
          <w:p w14:paraId="30670373" w14:textId="77777777" w:rsidR="00DF44FD" w:rsidRDefault="00DF44FD" w:rsidP="00DF44FD">
            <w:pPr>
              <w:pStyle w:val="Akapitzlist"/>
              <w:numPr>
                <w:ilvl w:val="0"/>
                <w:numId w:val="21"/>
              </w:numPr>
              <w:spacing w:after="0" w:line="240" w:lineRule="auto"/>
              <w:jc w:val="center"/>
              <w:rPr>
                <w:rFonts w:ascii="Arial" w:hAnsi="Arial" w:cs="Arial"/>
                <w:b/>
                <w:noProof/>
                <w:sz w:val="18"/>
                <w:szCs w:val="18"/>
              </w:rPr>
            </w:pPr>
          </w:p>
        </w:tc>
        <w:tc>
          <w:tcPr>
            <w:tcW w:w="1986" w:type="dxa"/>
            <w:tcBorders>
              <w:top w:val="single" w:sz="4" w:space="0" w:color="auto"/>
              <w:left w:val="single" w:sz="4" w:space="0" w:color="auto"/>
              <w:bottom w:val="single" w:sz="4" w:space="0" w:color="auto"/>
              <w:right w:val="single" w:sz="4" w:space="0" w:color="auto"/>
            </w:tcBorders>
            <w:vAlign w:val="center"/>
          </w:tcPr>
          <w:p w14:paraId="7AFC2BB7" w14:textId="77777777" w:rsidR="00DF44FD" w:rsidRPr="00E54B6E" w:rsidRDefault="00DF44FD" w:rsidP="00DF44FD">
            <w:pPr>
              <w:spacing w:line="240" w:lineRule="auto"/>
              <w:contextualSpacing/>
              <w:jc w:val="center"/>
              <w:rPr>
                <w:rFonts w:ascii="Lato" w:hAnsi="Lato"/>
                <w:sz w:val="18"/>
                <w:szCs w:val="18"/>
              </w:rPr>
            </w:pPr>
            <w:r w:rsidRPr="00E54B6E">
              <w:rPr>
                <w:rFonts w:ascii="Lato" w:hAnsi="Lato"/>
                <w:sz w:val="18"/>
                <w:szCs w:val="18"/>
              </w:rPr>
              <w:t xml:space="preserve">Ogólnopolski Związek Zawodowy </w:t>
            </w:r>
            <w:proofErr w:type="spellStart"/>
            <w:r w:rsidRPr="00E54B6E">
              <w:rPr>
                <w:rFonts w:ascii="Lato" w:hAnsi="Lato"/>
                <w:sz w:val="18"/>
                <w:szCs w:val="18"/>
              </w:rPr>
              <w:t>Pielegniarek</w:t>
            </w:r>
            <w:proofErr w:type="spellEnd"/>
            <w:r w:rsidRPr="00E54B6E">
              <w:rPr>
                <w:rFonts w:ascii="Lato" w:hAnsi="Lato"/>
                <w:sz w:val="18"/>
                <w:szCs w:val="18"/>
              </w:rPr>
              <w:t xml:space="preserve"> i Położnych</w:t>
            </w:r>
          </w:p>
        </w:tc>
        <w:tc>
          <w:tcPr>
            <w:tcW w:w="8646" w:type="dxa"/>
            <w:tcBorders>
              <w:top w:val="single" w:sz="4" w:space="0" w:color="auto"/>
              <w:left w:val="single" w:sz="4" w:space="0" w:color="auto"/>
              <w:bottom w:val="single" w:sz="4" w:space="0" w:color="auto"/>
              <w:right w:val="single" w:sz="4" w:space="0" w:color="auto"/>
            </w:tcBorders>
          </w:tcPr>
          <w:p w14:paraId="3725FCA0" w14:textId="77777777" w:rsidR="00DF44FD" w:rsidRPr="00E54B6E" w:rsidRDefault="00DF44FD" w:rsidP="00DF44FD">
            <w:pPr>
              <w:spacing w:after="0"/>
              <w:ind w:firstLine="708"/>
              <w:jc w:val="both"/>
              <w:rPr>
                <w:rFonts w:ascii="Lato" w:hAnsi="Lato"/>
                <w:sz w:val="18"/>
                <w:szCs w:val="18"/>
              </w:rPr>
            </w:pPr>
            <w:r w:rsidRPr="00E54B6E">
              <w:rPr>
                <w:rFonts w:ascii="Lato" w:hAnsi="Lato"/>
                <w:sz w:val="18"/>
                <w:szCs w:val="18"/>
              </w:rPr>
              <w:t>1/ w par.3 ust.1 otrzymuje brzmienie:</w:t>
            </w:r>
          </w:p>
          <w:p w14:paraId="47594464" w14:textId="77777777" w:rsidR="00DF44FD" w:rsidRPr="00E54B6E" w:rsidRDefault="00DF44FD" w:rsidP="00DF44FD">
            <w:pPr>
              <w:spacing w:after="0"/>
              <w:ind w:firstLine="708"/>
              <w:jc w:val="both"/>
              <w:rPr>
                <w:rFonts w:ascii="Lato" w:hAnsi="Lato"/>
                <w:sz w:val="18"/>
                <w:szCs w:val="18"/>
              </w:rPr>
            </w:pPr>
            <w:r w:rsidRPr="00E54B6E">
              <w:rPr>
                <w:rFonts w:ascii="Lato" w:hAnsi="Lato"/>
                <w:sz w:val="18"/>
                <w:szCs w:val="18"/>
              </w:rPr>
              <w:t>„O spełnianiu przez kandydata na dawcę krwi lub dawcę krwi wymagań zdrowotnych, o których mowa w § 2 ust. 1, orzeka lekarz albo pielęgniarka, o której mowa w art.15 ust.1 pkt 1 lit. b ustawy, po przeprowadzeniu badania medycznego, które obejmuje elementy wymienione w art. 15 ust. 1 pkt 3 ustawy.”</w:t>
            </w:r>
          </w:p>
          <w:p w14:paraId="46A187FF" w14:textId="77777777" w:rsidR="00DF44FD" w:rsidRPr="00E54B6E" w:rsidRDefault="00DF44FD" w:rsidP="00DF44FD">
            <w:pPr>
              <w:ind w:firstLine="708"/>
              <w:jc w:val="both"/>
              <w:rPr>
                <w:rFonts w:ascii="Lato" w:hAnsi="Lato"/>
                <w:sz w:val="18"/>
                <w:szCs w:val="18"/>
              </w:rPr>
            </w:pPr>
            <w:r w:rsidRPr="00E54B6E">
              <w:rPr>
                <w:rFonts w:ascii="Lato" w:hAnsi="Lato"/>
                <w:sz w:val="18"/>
                <w:szCs w:val="18"/>
              </w:rPr>
              <w:t xml:space="preserve">W ustawie o publicznej służbie krwi, na którą powołuje się powyższy zapis wymieniona jest pielęgniarka z tytułem magister pielęgniarstwa. Jak już wspominał </w:t>
            </w:r>
            <w:proofErr w:type="spellStart"/>
            <w:r w:rsidRPr="00E54B6E">
              <w:rPr>
                <w:rFonts w:ascii="Lato" w:hAnsi="Lato"/>
                <w:sz w:val="18"/>
                <w:szCs w:val="18"/>
              </w:rPr>
              <w:t>OZZPiP</w:t>
            </w:r>
            <w:proofErr w:type="spellEnd"/>
            <w:r w:rsidRPr="00E54B6E">
              <w:rPr>
                <w:rFonts w:ascii="Lato" w:hAnsi="Lato"/>
                <w:sz w:val="18"/>
                <w:szCs w:val="18"/>
              </w:rPr>
              <w:t xml:space="preserve"> podczas wprowadzania zmian do powyższej ustawy, które zostały uchwalone w przeciągu ostatniego roku, w programie kształcenia pielęgniarki na poziomie licencjat pielęgniarstwa oraz w programie specjalizacji istnieje przedmiot: Badanie fizykalne, który mógłby być wykorzystany w procesie kwalifikowania dawców do oddania krwi. W programie kształcenia na poziomie magister pielęgniarstwa takiego przedmiotu nie ma - brak więc uzasadnienia do wymienienia akurat tej grupy pielęgniarek zarówno w ustawie jak też rozporządzeniu</w:t>
            </w:r>
          </w:p>
          <w:p w14:paraId="3DEB090B" w14:textId="77777777" w:rsidR="00DF44FD" w:rsidRPr="00E54B6E" w:rsidRDefault="00DF44FD" w:rsidP="00DF44FD">
            <w:pPr>
              <w:ind w:firstLine="708"/>
              <w:jc w:val="both"/>
              <w:rPr>
                <w:rFonts w:ascii="Lato" w:hAnsi="Lato"/>
                <w:sz w:val="18"/>
                <w:szCs w:val="18"/>
              </w:rPr>
            </w:pPr>
            <w:r w:rsidRPr="00E54B6E">
              <w:rPr>
                <w:rFonts w:ascii="Lato" w:hAnsi="Lato"/>
                <w:sz w:val="18"/>
                <w:szCs w:val="18"/>
              </w:rPr>
              <w:t>2/ podobna sytuacja występuje w par.5 ust. 1 projektu rozporządzenia</w:t>
            </w:r>
          </w:p>
          <w:p w14:paraId="7CC6C8CE" w14:textId="77777777" w:rsidR="00DF44FD" w:rsidRPr="00E54B6E" w:rsidRDefault="00DF44FD" w:rsidP="00DF44FD">
            <w:pPr>
              <w:ind w:firstLine="708"/>
              <w:jc w:val="both"/>
              <w:rPr>
                <w:rFonts w:ascii="Lato" w:hAnsi="Lato"/>
                <w:sz w:val="18"/>
                <w:szCs w:val="18"/>
              </w:rPr>
            </w:pPr>
            <w:r w:rsidRPr="00E54B6E">
              <w:rPr>
                <w:rFonts w:ascii="Lato" w:hAnsi="Lato"/>
                <w:sz w:val="18"/>
                <w:szCs w:val="18"/>
              </w:rPr>
              <w:t>3/ w par.4 dodaje się ust. 8: „8. U kandydata na dawcę krwi lub dawcy krwi zgłaszającego się na oddanie krwi lub jej składników po raz pierwszy po oddaniu komórek krwiotwórczych z krwi obwodowej lub ze szpiku kostnego lub limfocytów dla biorcy jego komórek krwiotwórczych wykonuje się pełną morfologię krwi.”</w:t>
            </w:r>
          </w:p>
          <w:p w14:paraId="7112708F" w14:textId="77777777" w:rsidR="00DF44FD" w:rsidRPr="00E54B6E" w:rsidRDefault="00DF44FD" w:rsidP="00DF44FD">
            <w:pPr>
              <w:ind w:firstLine="708"/>
              <w:jc w:val="both"/>
              <w:rPr>
                <w:rFonts w:ascii="Lato" w:hAnsi="Lato"/>
                <w:sz w:val="18"/>
                <w:szCs w:val="18"/>
              </w:rPr>
            </w:pPr>
            <w:r w:rsidRPr="00E54B6E">
              <w:rPr>
                <w:rFonts w:ascii="Lato" w:hAnsi="Lato"/>
                <w:sz w:val="18"/>
                <w:szCs w:val="18"/>
              </w:rPr>
              <w:lastRenderedPageBreak/>
              <w:t>Zarówno w procesie rejestracji jak też pobierania badań hematologicznych osoba pobierająca badania nie ma informacji o fakcie oddania przez dawcę komórek krwiotwórczych - takiej informacji nie zawiera również kwestionariusz ankietowy wypełniany przez dawcę;</w:t>
            </w:r>
          </w:p>
          <w:p w14:paraId="6B75032D" w14:textId="77777777" w:rsidR="00DF44FD" w:rsidRPr="00E54B6E" w:rsidRDefault="00DF44FD" w:rsidP="00DF44FD">
            <w:pPr>
              <w:ind w:firstLine="708"/>
              <w:jc w:val="both"/>
              <w:rPr>
                <w:rFonts w:ascii="Lato" w:hAnsi="Lato"/>
                <w:sz w:val="18"/>
                <w:szCs w:val="18"/>
              </w:rPr>
            </w:pPr>
            <w:r w:rsidRPr="00E54B6E">
              <w:rPr>
                <w:rFonts w:ascii="Lato" w:hAnsi="Lato"/>
                <w:sz w:val="18"/>
                <w:szCs w:val="18"/>
              </w:rPr>
              <w:t>4/ W załączniku nr 2 w pkt 2.1 „Kryteria dyskwalifikacji stałej dla kandydatów na dawców krwi lub dawców krwi allogenicznej oraz przeciwwskazania do jej pobrania”</w:t>
            </w:r>
          </w:p>
          <w:p w14:paraId="0307BE7A" w14:textId="77777777" w:rsidR="00DF44FD" w:rsidRPr="00E54B6E" w:rsidRDefault="00DF44FD" w:rsidP="00DF44FD">
            <w:pPr>
              <w:ind w:firstLine="708"/>
              <w:jc w:val="both"/>
              <w:rPr>
                <w:rFonts w:ascii="Lato" w:hAnsi="Lato"/>
                <w:sz w:val="18"/>
                <w:szCs w:val="18"/>
              </w:rPr>
            </w:pPr>
            <w:r w:rsidRPr="00E54B6E">
              <w:rPr>
                <w:rFonts w:ascii="Lato" w:hAnsi="Lato"/>
                <w:sz w:val="18"/>
                <w:szCs w:val="18"/>
              </w:rPr>
              <w:t>w lp. 5–12 kolumna 3 „Szczegółowy opis kryterium/przeciwwskazania oraz warunki pobierania krwi od kandydata na dawcę krwi lub dawcy krwi” otrzymuje brzmienie: „poważna choroba: aktywna, przewlekła lub nawracająca”, - brak jest precyzyjnego określenia co znaczy "poważna choroba: aktywna, przewlekła lub nawracająca "</w:t>
            </w:r>
          </w:p>
          <w:p w14:paraId="5B22FBCD" w14:textId="77777777" w:rsidR="00DF44FD" w:rsidRPr="00E54B6E" w:rsidRDefault="00DF44FD" w:rsidP="00DF44FD">
            <w:pPr>
              <w:ind w:firstLine="708"/>
              <w:jc w:val="both"/>
              <w:rPr>
                <w:rFonts w:ascii="Lato" w:hAnsi="Lato"/>
                <w:sz w:val="18"/>
                <w:szCs w:val="18"/>
              </w:rPr>
            </w:pPr>
            <w:r w:rsidRPr="00E54B6E">
              <w:rPr>
                <w:rFonts w:ascii="Lato" w:hAnsi="Lato"/>
                <w:sz w:val="18"/>
                <w:szCs w:val="18"/>
              </w:rPr>
              <w:t>5/ w pkt. 13: wprowadzono zapis: „cukrzyca leczona insuliną - kandydaci na dawców krwi lub dawcy krwi z rozpoznaną cukrzycą leczoną insuliną” - z uwagi na dopuszczenie do oddawania krwi osób z rozpoznaną cukrzycą leczoną innymi lekami niż insulina zastanawia czy obecność tych leków we krwi podawanej noworodkom czy innym ciężko chorym nie będzie miało wpływu na stan ich zdrowia</w:t>
            </w:r>
          </w:p>
          <w:p w14:paraId="6822CB21" w14:textId="77777777" w:rsidR="00DF44FD" w:rsidRPr="00E54B6E" w:rsidRDefault="00DF44FD" w:rsidP="00DF44FD">
            <w:pPr>
              <w:ind w:firstLine="708"/>
              <w:jc w:val="both"/>
              <w:rPr>
                <w:rFonts w:ascii="Lato" w:hAnsi="Lato"/>
                <w:sz w:val="18"/>
                <w:szCs w:val="18"/>
              </w:rPr>
            </w:pPr>
            <w:r w:rsidRPr="00E54B6E">
              <w:rPr>
                <w:rFonts w:ascii="Lato" w:hAnsi="Lato"/>
                <w:sz w:val="18"/>
                <w:szCs w:val="18"/>
              </w:rPr>
              <w:t xml:space="preserve">6/ wątpliwości budzi też wykreślenie w lp. 15 w kolumnie 3 „Szczegółowy opis kryterium/przeciwwskazania oraz warunki pobierania krwi od kandydata na dawcę krwi lub dawcy krwi” uchyla się pkt 3 „wirusowe zapalenie wątroby o nieustalonym rodzaju wirusa w wywiadzie, żółtaczka o niejasnej etiologii” - fakt, że </w:t>
            </w:r>
            <w:proofErr w:type="spellStart"/>
            <w:r w:rsidRPr="00E54B6E">
              <w:rPr>
                <w:rFonts w:ascii="Lato" w:hAnsi="Lato"/>
                <w:sz w:val="18"/>
                <w:szCs w:val="18"/>
              </w:rPr>
              <w:t>wzw</w:t>
            </w:r>
            <w:proofErr w:type="spellEnd"/>
            <w:r w:rsidRPr="00E54B6E">
              <w:rPr>
                <w:rFonts w:ascii="Lato" w:hAnsi="Lato"/>
                <w:sz w:val="18"/>
                <w:szCs w:val="18"/>
              </w:rPr>
              <w:t xml:space="preserve"> o nieustalonym rodzaju wirusa nie wyklucza, że mogło to być </w:t>
            </w:r>
            <w:proofErr w:type="spellStart"/>
            <w:r w:rsidRPr="00E54B6E">
              <w:rPr>
                <w:rFonts w:ascii="Lato" w:hAnsi="Lato"/>
                <w:sz w:val="18"/>
                <w:szCs w:val="18"/>
              </w:rPr>
              <w:t>wzw</w:t>
            </w:r>
            <w:proofErr w:type="spellEnd"/>
            <w:r w:rsidRPr="00E54B6E">
              <w:rPr>
                <w:rFonts w:ascii="Lato" w:hAnsi="Lato"/>
                <w:sz w:val="18"/>
                <w:szCs w:val="18"/>
              </w:rPr>
              <w:t xml:space="preserve"> stanowiące podstawę do stałej dyskwalifikacji dawcy</w:t>
            </w:r>
          </w:p>
          <w:p w14:paraId="19D791CC" w14:textId="77777777" w:rsidR="00DF44FD" w:rsidRPr="00E54B6E" w:rsidRDefault="00DF44FD" w:rsidP="00DF44FD">
            <w:pPr>
              <w:ind w:firstLine="708"/>
              <w:jc w:val="both"/>
              <w:rPr>
                <w:rFonts w:ascii="Lato" w:hAnsi="Lato"/>
                <w:sz w:val="18"/>
                <w:szCs w:val="18"/>
              </w:rPr>
            </w:pPr>
            <w:r w:rsidRPr="00E54B6E">
              <w:rPr>
                <w:rFonts w:ascii="Lato" w:hAnsi="Lato"/>
                <w:sz w:val="18"/>
                <w:szCs w:val="18"/>
              </w:rPr>
              <w:t>7/ w lp. 20 kolumna 2 „Kryterium/przeciwwskazanie” otrzymuje brzmienie: „Poważne zaburzenia psychiczne” - Które zaburzenia psychiczne wg autora projektu są poważnymi zaburzeniami psychicznymi, a które nie są? Jak należy ocenić informacje zawarte w ankiecie wypełnianej przez dawcę z „lekkimi” zaburzeniami psychicznymi - Czy informacje te należy traktować jako wiarygodne?</w:t>
            </w:r>
          </w:p>
          <w:p w14:paraId="7E010CA8" w14:textId="77777777" w:rsidR="00DF44FD" w:rsidRPr="00E54B6E" w:rsidRDefault="00DF44FD" w:rsidP="00DF44FD">
            <w:pPr>
              <w:ind w:firstLine="708"/>
              <w:jc w:val="both"/>
              <w:rPr>
                <w:rFonts w:ascii="Lato" w:hAnsi="Lato"/>
                <w:sz w:val="18"/>
                <w:szCs w:val="18"/>
              </w:rPr>
            </w:pPr>
            <w:r w:rsidRPr="00E54B6E">
              <w:rPr>
                <w:rFonts w:ascii="Lato" w:hAnsi="Lato"/>
                <w:sz w:val="18"/>
                <w:szCs w:val="18"/>
              </w:rPr>
              <w:t>8/ w pkt 2.2.1. „Choroby zakaźne – czas trwania dyskwalifikacji”: w lp. 11 kolumna 3 „Szczegółowy opis kryterium/przeciwwskazania oraz warunki pobierania krwi od kandydata na dawcę krwi lub dawcy krwi” otrzymuje brzmienie: „– okres choroby oraz 4 miesiące od dnia wyleczenia – 4 miesiące od ostatniego kontaktu seksualnego z osobą zakażoną rzeżączką”</w:t>
            </w:r>
          </w:p>
          <w:p w14:paraId="094F892A" w14:textId="77777777" w:rsidR="00DF44FD" w:rsidRPr="00E54B6E" w:rsidRDefault="00DF44FD" w:rsidP="00DF44FD">
            <w:pPr>
              <w:ind w:firstLine="708"/>
              <w:jc w:val="both"/>
              <w:rPr>
                <w:rFonts w:ascii="Lato" w:hAnsi="Lato"/>
                <w:sz w:val="18"/>
                <w:szCs w:val="18"/>
              </w:rPr>
            </w:pPr>
            <w:r w:rsidRPr="00E54B6E">
              <w:rPr>
                <w:rFonts w:ascii="Lato" w:hAnsi="Lato"/>
                <w:sz w:val="18"/>
                <w:szCs w:val="18"/>
              </w:rPr>
              <w:t xml:space="preserve">- fakt, wystąpienia u dawcy jednej z chorób wenerycznej nie wyklucza jednoczasowego zakażenia innymi chorobami - być może niektóre z nich nie są w chwili obecnej testowane przy okazji oddawania krwi (przypadki takie się zdarzają). Okres dyskwalifikacji takiego dawcy został skrócony z 12 do 4 miesięcy, co przy </w:t>
            </w:r>
            <w:r w:rsidRPr="00E54B6E">
              <w:rPr>
                <w:rFonts w:ascii="Lato" w:hAnsi="Lato"/>
                <w:sz w:val="18"/>
                <w:szCs w:val="18"/>
              </w:rPr>
              <w:lastRenderedPageBreak/>
              <w:t>znacznej liberalizacji zachowań seksualnych nie daje gwarancji wytworzenia bezpiecznego preparatu (o niektórych zachowaniach dawca może nie poinformować osoby kwalifikującej go.</w:t>
            </w:r>
          </w:p>
          <w:p w14:paraId="4B4DB4BF" w14:textId="77777777" w:rsidR="00DF44FD" w:rsidRPr="00E54B6E" w:rsidRDefault="00DF44FD" w:rsidP="00DF44FD">
            <w:pPr>
              <w:ind w:firstLine="708"/>
              <w:jc w:val="both"/>
              <w:rPr>
                <w:rFonts w:ascii="Lato" w:hAnsi="Lato"/>
                <w:sz w:val="18"/>
                <w:szCs w:val="18"/>
              </w:rPr>
            </w:pPr>
            <w:r w:rsidRPr="00E54B6E">
              <w:rPr>
                <w:rFonts w:ascii="Lato" w:hAnsi="Lato"/>
                <w:sz w:val="18"/>
                <w:szCs w:val="18"/>
              </w:rPr>
              <w:t>9/ „Osoby utrzymujące kontakty seksualne z partnerami, u których testy w kierunku AIDS (HIV) wypadły dodatnio – po zaprzestaniu kontaktów dyskwalifikacja na okres 4 miesięcy”,</w:t>
            </w:r>
          </w:p>
          <w:p w14:paraId="7F1BEED5" w14:textId="77777777" w:rsidR="00DF44FD" w:rsidRPr="00E54B6E" w:rsidRDefault="00DF44FD" w:rsidP="00DF44FD">
            <w:pPr>
              <w:ind w:firstLine="708"/>
              <w:jc w:val="both"/>
              <w:rPr>
                <w:rFonts w:ascii="Lato" w:hAnsi="Lato"/>
                <w:sz w:val="18"/>
                <w:szCs w:val="18"/>
              </w:rPr>
            </w:pPr>
            <w:r w:rsidRPr="00E54B6E">
              <w:rPr>
                <w:rFonts w:ascii="Lato" w:hAnsi="Lato"/>
                <w:sz w:val="18"/>
                <w:szCs w:val="18"/>
              </w:rPr>
              <w:t>- z uwagi na fakt braku odpowiedzialności w przypadku podejmowania tego typu kontaktów, brak jest wiarygodności takiego dawcy - niesie to za sobą wysokie ryzyko dla potencjalnego biorcy - wiarygodność dostępnych testów nie wynosi 100%. Podobnie wygląda sytuacja w przypadku innych chorób przenoszonych drogą krwi.</w:t>
            </w:r>
          </w:p>
          <w:p w14:paraId="6DA64D59" w14:textId="77777777" w:rsidR="00DF44FD" w:rsidRPr="00E54B6E" w:rsidRDefault="00DF44FD" w:rsidP="00DF44FD">
            <w:pPr>
              <w:ind w:firstLine="708"/>
              <w:jc w:val="both"/>
              <w:rPr>
                <w:rFonts w:ascii="Lato" w:hAnsi="Lato"/>
                <w:sz w:val="18"/>
                <w:szCs w:val="18"/>
              </w:rPr>
            </w:pPr>
            <w:r w:rsidRPr="00E54B6E">
              <w:rPr>
                <w:rFonts w:ascii="Lato" w:hAnsi="Lato"/>
                <w:sz w:val="18"/>
                <w:szCs w:val="18"/>
              </w:rPr>
              <w:t>10/ w pkt 2.2.4. „Inne przyczyny dyskwalifikacji czasowej oraz przeciwwskazania do pobrania krwi” w lp. 13 kolumna 3 „Szczegółowy opis kryterium/przeciwwskazania oraz warunki pobierania krwi od kandydata na dawcę krwi lub dawcy krwi” wątpliwości budzi zapis, który otrzymuje brzmienie: „na czas wywoływania tolerancji na alergen – można dopuścić do pobrania przy dawkach podtrzymujących 14 dni po dawce lub 14 dni przed następna dawką" - wydaje się być zasadnym dyskwalifikacja na cały okres odczulania</w:t>
            </w:r>
          </w:p>
          <w:p w14:paraId="1FF245CC" w14:textId="77777777" w:rsidR="00DF44FD" w:rsidRPr="00E54B6E" w:rsidRDefault="00DF44FD" w:rsidP="00DF44FD">
            <w:pPr>
              <w:ind w:firstLine="708"/>
              <w:jc w:val="both"/>
              <w:rPr>
                <w:rFonts w:ascii="Lato" w:hAnsi="Lato"/>
                <w:sz w:val="18"/>
                <w:szCs w:val="18"/>
              </w:rPr>
            </w:pPr>
            <w:r w:rsidRPr="00E54B6E">
              <w:rPr>
                <w:rFonts w:ascii="Lato" w:hAnsi="Lato"/>
                <w:sz w:val="18"/>
                <w:szCs w:val="18"/>
              </w:rPr>
              <w:t xml:space="preserve">11/ dodaje się lp. 15 w brzmieniu: Cukrzyca typu 2 nieleczona insuliną - kandydaci na dawców krwi lub dawcy krwi mogą zostać dopuszczeni do pobrania tylko krwi pełnej, jeżeli są leczeni dietą lub metforminą - a co np. z pochodnymi </w:t>
            </w:r>
            <w:proofErr w:type="spellStart"/>
            <w:r w:rsidRPr="00E54B6E">
              <w:rPr>
                <w:rFonts w:ascii="Lato" w:hAnsi="Lato"/>
                <w:sz w:val="18"/>
                <w:szCs w:val="18"/>
              </w:rPr>
              <w:t>sulfonylomocznika</w:t>
            </w:r>
            <w:proofErr w:type="spellEnd"/>
            <w:r w:rsidRPr="00E54B6E">
              <w:rPr>
                <w:rFonts w:ascii="Lato" w:hAnsi="Lato"/>
                <w:sz w:val="18"/>
                <w:szCs w:val="18"/>
              </w:rPr>
              <w:t>?</w:t>
            </w:r>
          </w:p>
          <w:p w14:paraId="2C6C5D55" w14:textId="77777777" w:rsidR="00DF44FD" w:rsidRPr="00E54B6E" w:rsidRDefault="00DF44FD" w:rsidP="00DF44FD">
            <w:pPr>
              <w:ind w:firstLine="708"/>
              <w:jc w:val="both"/>
              <w:rPr>
                <w:rFonts w:ascii="Lato" w:hAnsi="Lato"/>
                <w:sz w:val="18"/>
                <w:szCs w:val="18"/>
              </w:rPr>
            </w:pPr>
            <w:r w:rsidRPr="00E54B6E">
              <w:rPr>
                <w:rFonts w:ascii="Lato" w:hAnsi="Lato"/>
                <w:sz w:val="18"/>
                <w:szCs w:val="18"/>
              </w:rPr>
              <w:t>12/ w pkt 2.2.4. „Inne przyczyny dyskwalifikacji czasowej oraz przeciwwskazania do pobrania krwi”: – uchyla się lp. 2: miesiączka - 3 dni po zakończeniu - z uwagi na obecność obfitych miesiączek u wielu kobiet możliwość oddawania krwi w trakcie lub tuż po zakończeniu krwawienia może być szkodliwy dla wielu kobiet oddających krew, u których hemoglobina wyjściowa występuje w okolicy dolnej granicy normy.</w:t>
            </w:r>
          </w:p>
          <w:p w14:paraId="54453E86" w14:textId="77777777" w:rsidR="00DF44FD" w:rsidRPr="00E54B6E" w:rsidRDefault="00DF44FD" w:rsidP="00DF44FD">
            <w:pPr>
              <w:ind w:firstLine="708"/>
              <w:jc w:val="both"/>
              <w:rPr>
                <w:rFonts w:ascii="Lato" w:hAnsi="Lato"/>
                <w:sz w:val="18"/>
                <w:szCs w:val="18"/>
              </w:rPr>
            </w:pPr>
            <w:r w:rsidRPr="00E54B6E">
              <w:rPr>
                <w:rFonts w:ascii="Lato" w:hAnsi="Lato"/>
                <w:sz w:val="18"/>
                <w:szCs w:val="18"/>
              </w:rPr>
              <w:t>13/ W załączniku II do projektu rozporządzenia II. Dopuszczalna ilość oddawanej krwi i jej składników oraz szczególne przypadki odstępów między donacjami krwi i jej składników, w części B Zabiegi aferezy, w pkt 2: „Od jednego dawcy osocze metodą aferezy można pobrać maksymalnie 33 razy w ciągu 12 miesięcy, a pojedyncza donacja nie może przekraczać 880 ml (wraz z antykoagulantem).”</w:t>
            </w:r>
          </w:p>
          <w:p w14:paraId="7F7C80CE" w14:textId="77777777" w:rsidR="00DF44FD" w:rsidRPr="00E54B6E" w:rsidRDefault="00DF44FD" w:rsidP="00DF44FD">
            <w:pPr>
              <w:ind w:firstLine="708"/>
              <w:jc w:val="both"/>
              <w:rPr>
                <w:rFonts w:ascii="Lato" w:hAnsi="Lato"/>
                <w:sz w:val="18"/>
                <w:szCs w:val="18"/>
              </w:rPr>
            </w:pPr>
            <w:r w:rsidRPr="00E54B6E">
              <w:rPr>
                <w:rFonts w:ascii="Lato" w:hAnsi="Lato"/>
                <w:sz w:val="18"/>
                <w:szCs w:val="18"/>
              </w:rPr>
              <w:t xml:space="preserve">- z uwagi na fakt, że przynajmniej część separatorów, a może wszystkie lub większość nie rozgraniczają ilości antykoagulantu, która pozostała w krwiobiegu dawcy, a która znajduje się w preparacie osoczowym nie ma możliwości ile faktycznie w preparacie znajduje się osocza, a ile antykoagulantu. Do chwili obecnej rozporządzenie dopuszcza pobranie 650 ml osocza (bez antykoagulantu) - co nie do końca jest prawdą, gdyż jak wspomnieliśmy trudno jest to określić - jest to jednak dla wielu osób i tak dość znacząca ilość, </w:t>
            </w:r>
            <w:r w:rsidRPr="00E54B6E">
              <w:rPr>
                <w:rFonts w:ascii="Lato" w:hAnsi="Lato"/>
                <w:sz w:val="18"/>
                <w:szCs w:val="18"/>
              </w:rPr>
              <w:lastRenderedPageBreak/>
              <w:t>a biorąc pod uwagę fakt bardzo regularnego oddawania osocza przez wielu dawców należy mieć również na względzie ich zdrowie, aby nie doprowadzić do sytuacji, że będą musieli suplementować preparaty białkowe.</w:t>
            </w:r>
          </w:p>
          <w:p w14:paraId="66664EC7" w14:textId="77777777" w:rsidR="00DF44FD" w:rsidRPr="00E54B6E" w:rsidRDefault="00DF44FD" w:rsidP="00DF44FD">
            <w:pPr>
              <w:ind w:firstLine="708"/>
              <w:jc w:val="both"/>
              <w:rPr>
                <w:rFonts w:ascii="Lato" w:hAnsi="Lato"/>
                <w:sz w:val="18"/>
                <w:szCs w:val="18"/>
              </w:rPr>
            </w:pPr>
            <w:r w:rsidRPr="00E54B6E">
              <w:rPr>
                <w:rFonts w:ascii="Lato" w:hAnsi="Lato"/>
                <w:sz w:val="18"/>
                <w:szCs w:val="18"/>
              </w:rPr>
              <w:t>Z uwagi na obecność w projekcie rozporządzenia licznych zapisów budzących wątpliwości dotyczące bezpieczeństwa zarówno dawców jak też biorców krwi należy zastanowić się czy warto zwiększać ilość pobieranych preparatów krwi przy zmniejszeniu ich bezpieczeństwa? - praktyka pokazuje, że zadbanie o komfort dawcy, miłą, życzliwą obsługę, skrócenie czasu oczekiwania dawcy w placówkach krwiodawstwa, gdzie krwiodawca traktowany jest jako podmiot przynosi dużo bardziej wymierne korzyści niż zaniżanie kryteriów zdrowotnych. Dodatkowo, jak już sugerowaliśmy wcześniej celowym i bardzo zasadnym wydaje się opracowanie szkolenia połączonego z weryfikacją wiedzy osób zatrudnionych lub mających być zatrudnionych przy kwalifikowaniu dawców do oddania krwi i jej składników. Ponadto należy zauważyć, że często brak możliwości konsultacji z lekarzem sprawia, że pielęgniarki nie czują się bezpieczne podczas wykonywania powierzonych im zadań.</w:t>
            </w:r>
          </w:p>
          <w:p w14:paraId="7DE91084" w14:textId="77777777" w:rsidR="00DF44FD" w:rsidRPr="00E54B6E" w:rsidRDefault="00DF44FD" w:rsidP="00DF44FD">
            <w:pPr>
              <w:ind w:firstLine="708"/>
              <w:jc w:val="both"/>
              <w:rPr>
                <w:rFonts w:ascii="Lato" w:hAnsi="Lato"/>
                <w:sz w:val="18"/>
                <w:szCs w:val="18"/>
              </w:rPr>
            </w:pPr>
          </w:p>
        </w:tc>
        <w:tc>
          <w:tcPr>
            <w:tcW w:w="3236" w:type="dxa"/>
            <w:tcBorders>
              <w:top w:val="single" w:sz="4" w:space="0" w:color="auto"/>
              <w:left w:val="single" w:sz="4" w:space="0" w:color="auto"/>
              <w:bottom w:val="single" w:sz="4" w:space="0" w:color="auto"/>
              <w:right w:val="single" w:sz="4" w:space="0" w:color="auto"/>
            </w:tcBorders>
          </w:tcPr>
          <w:p w14:paraId="712B8B31" w14:textId="77777777" w:rsidR="00DF44FD" w:rsidRPr="00E54B6E" w:rsidRDefault="00DF44FD" w:rsidP="00DF44FD">
            <w:pPr>
              <w:spacing w:line="240" w:lineRule="auto"/>
              <w:contextualSpacing/>
              <w:rPr>
                <w:rFonts w:ascii="Lato" w:hAnsi="Lato" w:cs="Arial"/>
                <w:sz w:val="18"/>
                <w:szCs w:val="18"/>
              </w:rPr>
            </w:pPr>
            <w:r w:rsidRPr="00E54B6E">
              <w:rPr>
                <w:rFonts w:ascii="Lato" w:hAnsi="Lato" w:cs="Arial"/>
                <w:sz w:val="18"/>
                <w:szCs w:val="18"/>
              </w:rPr>
              <w:lastRenderedPageBreak/>
              <w:t xml:space="preserve">Ad 1. Uwaga niezasadna </w:t>
            </w:r>
          </w:p>
          <w:p w14:paraId="2E87BEBA" w14:textId="77777777" w:rsidR="00DF44FD" w:rsidRPr="00E54B6E" w:rsidRDefault="00DF44FD" w:rsidP="00DF44FD">
            <w:pPr>
              <w:spacing w:line="240" w:lineRule="auto"/>
              <w:contextualSpacing/>
              <w:rPr>
                <w:rFonts w:ascii="Lato" w:hAnsi="Lato" w:cs="Arial"/>
                <w:sz w:val="18"/>
                <w:szCs w:val="18"/>
              </w:rPr>
            </w:pPr>
            <w:r w:rsidRPr="00E54B6E">
              <w:rPr>
                <w:rFonts w:ascii="Lato" w:hAnsi="Lato" w:cs="Arial"/>
                <w:sz w:val="18"/>
                <w:szCs w:val="18"/>
              </w:rPr>
              <w:t>Dotyczy ustawy o publicznej służbie krwi, która nie jest przedmiotem tego procesu legislacyjnego</w:t>
            </w:r>
          </w:p>
          <w:p w14:paraId="28ACBD03" w14:textId="77777777" w:rsidR="00DF44FD" w:rsidRPr="00E54B6E" w:rsidRDefault="00DF44FD" w:rsidP="00DF44FD">
            <w:pPr>
              <w:spacing w:line="240" w:lineRule="auto"/>
              <w:contextualSpacing/>
              <w:rPr>
                <w:rFonts w:ascii="Lato" w:hAnsi="Lato" w:cs="Arial"/>
                <w:sz w:val="18"/>
                <w:szCs w:val="18"/>
              </w:rPr>
            </w:pPr>
          </w:p>
          <w:p w14:paraId="05DBF4F5" w14:textId="77777777" w:rsidR="00DF44FD" w:rsidRPr="00E54B6E" w:rsidRDefault="00DF44FD" w:rsidP="00DF44FD">
            <w:pPr>
              <w:spacing w:line="240" w:lineRule="auto"/>
              <w:contextualSpacing/>
              <w:rPr>
                <w:rFonts w:ascii="Lato" w:hAnsi="Lato" w:cs="Arial"/>
                <w:sz w:val="18"/>
                <w:szCs w:val="18"/>
              </w:rPr>
            </w:pPr>
          </w:p>
          <w:p w14:paraId="62511ED0" w14:textId="77777777" w:rsidR="00DF44FD" w:rsidRPr="00E54B6E" w:rsidRDefault="00DF44FD" w:rsidP="00DF44FD">
            <w:pPr>
              <w:spacing w:line="240" w:lineRule="auto"/>
              <w:contextualSpacing/>
              <w:rPr>
                <w:rFonts w:ascii="Lato" w:hAnsi="Lato" w:cs="Arial"/>
                <w:sz w:val="18"/>
                <w:szCs w:val="18"/>
              </w:rPr>
            </w:pPr>
          </w:p>
          <w:p w14:paraId="5D17FA29" w14:textId="77777777" w:rsidR="00DF44FD" w:rsidRPr="00E54B6E" w:rsidRDefault="00DF44FD" w:rsidP="00DF44FD">
            <w:pPr>
              <w:spacing w:line="240" w:lineRule="auto"/>
              <w:contextualSpacing/>
              <w:rPr>
                <w:rFonts w:ascii="Lato" w:hAnsi="Lato" w:cs="Arial"/>
                <w:sz w:val="18"/>
                <w:szCs w:val="18"/>
              </w:rPr>
            </w:pPr>
          </w:p>
          <w:p w14:paraId="7BE4E69C" w14:textId="77777777" w:rsidR="00DF44FD" w:rsidRPr="00E54B6E" w:rsidRDefault="00DF44FD" w:rsidP="00DF44FD">
            <w:pPr>
              <w:spacing w:line="240" w:lineRule="auto"/>
              <w:contextualSpacing/>
              <w:rPr>
                <w:rFonts w:ascii="Lato" w:hAnsi="Lato" w:cs="Arial"/>
                <w:sz w:val="18"/>
                <w:szCs w:val="18"/>
              </w:rPr>
            </w:pPr>
          </w:p>
          <w:p w14:paraId="176FE835" w14:textId="77777777" w:rsidR="00DF44FD" w:rsidRPr="00E54B6E" w:rsidRDefault="00DF44FD" w:rsidP="00DF44FD">
            <w:pPr>
              <w:spacing w:line="240" w:lineRule="auto"/>
              <w:contextualSpacing/>
              <w:rPr>
                <w:rFonts w:ascii="Lato" w:hAnsi="Lato" w:cs="Arial"/>
                <w:sz w:val="18"/>
                <w:szCs w:val="18"/>
              </w:rPr>
            </w:pPr>
          </w:p>
          <w:p w14:paraId="3B2C04B5" w14:textId="77777777" w:rsidR="00DF44FD" w:rsidRPr="00E54B6E" w:rsidRDefault="00DF44FD" w:rsidP="00DF44FD">
            <w:pPr>
              <w:spacing w:line="240" w:lineRule="auto"/>
              <w:contextualSpacing/>
              <w:rPr>
                <w:rFonts w:ascii="Lato" w:hAnsi="Lato" w:cs="Arial"/>
                <w:sz w:val="18"/>
                <w:szCs w:val="18"/>
              </w:rPr>
            </w:pPr>
          </w:p>
          <w:p w14:paraId="22BD6A39" w14:textId="77777777" w:rsidR="00DF44FD" w:rsidRPr="00E54B6E" w:rsidRDefault="00DF44FD" w:rsidP="00DF44FD">
            <w:pPr>
              <w:spacing w:line="240" w:lineRule="auto"/>
              <w:contextualSpacing/>
              <w:rPr>
                <w:rFonts w:ascii="Lato" w:hAnsi="Lato" w:cs="Arial"/>
                <w:sz w:val="18"/>
                <w:szCs w:val="18"/>
              </w:rPr>
            </w:pPr>
          </w:p>
          <w:p w14:paraId="1A8AAD56" w14:textId="77777777" w:rsidR="00DF44FD" w:rsidRPr="00E54B6E" w:rsidRDefault="00DF44FD" w:rsidP="00DF44FD">
            <w:pPr>
              <w:spacing w:line="240" w:lineRule="auto"/>
              <w:contextualSpacing/>
              <w:rPr>
                <w:rFonts w:ascii="Lato" w:hAnsi="Lato" w:cs="Arial"/>
                <w:sz w:val="18"/>
                <w:szCs w:val="18"/>
              </w:rPr>
            </w:pPr>
            <w:r w:rsidRPr="00E54B6E">
              <w:rPr>
                <w:rFonts w:ascii="Lato" w:hAnsi="Lato" w:cs="Arial"/>
                <w:sz w:val="18"/>
                <w:szCs w:val="18"/>
              </w:rPr>
              <w:t xml:space="preserve">Ad 2.  Uwaga niezasadna </w:t>
            </w:r>
          </w:p>
          <w:p w14:paraId="55288C1D" w14:textId="77777777" w:rsidR="00DF44FD" w:rsidRPr="00E54B6E" w:rsidRDefault="00DF44FD" w:rsidP="00DF44FD">
            <w:pPr>
              <w:spacing w:line="240" w:lineRule="auto"/>
              <w:contextualSpacing/>
              <w:rPr>
                <w:rFonts w:ascii="Lato" w:hAnsi="Lato" w:cs="Arial"/>
                <w:sz w:val="18"/>
                <w:szCs w:val="18"/>
              </w:rPr>
            </w:pPr>
            <w:r w:rsidRPr="00E54B6E">
              <w:rPr>
                <w:rFonts w:ascii="Lato" w:hAnsi="Lato" w:cs="Arial"/>
                <w:sz w:val="18"/>
                <w:szCs w:val="18"/>
              </w:rPr>
              <w:t>Dotyczy ustawy o publicznej służbie krwi, która nie jest przedmiotem tego procesu legislacyjnego</w:t>
            </w:r>
          </w:p>
          <w:p w14:paraId="0F942681" w14:textId="77777777" w:rsidR="00DF44FD" w:rsidRPr="00E54B6E" w:rsidRDefault="00DF44FD" w:rsidP="00DF44FD">
            <w:pPr>
              <w:spacing w:line="240" w:lineRule="auto"/>
              <w:contextualSpacing/>
              <w:rPr>
                <w:rFonts w:ascii="Lato" w:hAnsi="Lato" w:cs="Arial"/>
                <w:sz w:val="18"/>
                <w:szCs w:val="18"/>
              </w:rPr>
            </w:pPr>
          </w:p>
          <w:p w14:paraId="2DE1E70B" w14:textId="3DC38593" w:rsidR="00DF44FD" w:rsidRPr="00E54B6E" w:rsidRDefault="00DF44FD" w:rsidP="00DF44FD">
            <w:pPr>
              <w:spacing w:line="240" w:lineRule="auto"/>
              <w:contextualSpacing/>
              <w:rPr>
                <w:rFonts w:ascii="Lato" w:hAnsi="Lato" w:cs="Arial"/>
                <w:sz w:val="18"/>
                <w:szCs w:val="18"/>
              </w:rPr>
            </w:pPr>
            <w:r w:rsidRPr="00E54B6E">
              <w:rPr>
                <w:rFonts w:ascii="Lato" w:hAnsi="Lato" w:cs="Arial"/>
                <w:sz w:val="18"/>
                <w:szCs w:val="18"/>
              </w:rPr>
              <w:t xml:space="preserve"> Ad 3. Uwaga niezasadna </w:t>
            </w:r>
          </w:p>
          <w:p w14:paraId="4E6964C4" w14:textId="77777777" w:rsidR="00DF44FD" w:rsidRPr="00E54B6E" w:rsidRDefault="00DF44FD" w:rsidP="00DF44FD">
            <w:pPr>
              <w:spacing w:line="240" w:lineRule="auto"/>
              <w:contextualSpacing/>
              <w:rPr>
                <w:rFonts w:ascii="Lato" w:hAnsi="Lato" w:cs="Arial"/>
                <w:sz w:val="18"/>
                <w:szCs w:val="18"/>
              </w:rPr>
            </w:pPr>
            <w:r w:rsidRPr="00E54B6E">
              <w:rPr>
                <w:rFonts w:ascii="Lato" w:hAnsi="Lato" w:cs="Arial"/>
                <w:sz w:val="18"/>
                <w:szCs w:val="18"/>
              </w:rPr>
              <w:t>Osoba kwalifikująca powinna uzyskać odpowiednie informacje m.in. drogą wywiadu. Ponadto istnieje możliwość pobrania dodatkowej próbki do badań w trakcie donacji.</w:t>
            </w:r>
          </w:p>
          <w:p w14:paraId="3C4B8FE4" w14:textId="77777777" w:rsidR="00DF44FD" w:rsidRPr="00E54B6E" w:rsidRDefault="00DF44FD" w:rsidP="00DF44FD">
            <w:pPr>
              <w:spacing w:line="240" w:lineRule="auto"/>
              <w:contextualSpacing/>
              <w:rPr>
                <w:rFonts w:ascii="Lato" w:hAnsi="Lato" w:cs="Arial"/>
                <w:sz w:val="18"/>
                <w:szCs w:val="18"/>
              </w:rPr>
            </w:pPr>
          </w:p>
          <w:p w14:paraId="39DBEBC1" w14:textId="77777777" w:rsidR="00DF44FD" w:rsidRPr="00E54B6E" w:rsidRDefault="00DF44FD" w:rsidP="00DF44FD">
            <w:pPr>
              <w:spacing w:line="240" w:lineRule="auto"/>
              <w:contextualSpacing/>
              <w:rPr>
                <w:rFonts w:ascii="Lato" w:hAnsi="Lato" w:cs="Arial"/>
                <w:sz w:val="18"/>
                <w:szCs w:val="18"/>
              </w:rPr>
            </w:pPr>
            <w:r w:rsidRPr="00E54B6E">
              <w:rPr>
                <w:rFonts w:ascii="Lato" w:hAnsi="Lato" w:cs="Arial"/>
                <w:sz w:val="18"/>
                <w:szCs w:val="18"/>
              </w:rPr>
              <w:lastRenderedPageBreak/>
              <w:t xml:space="preserve">Ad 4. Uwaga niezasadna </w:t>
            </w:r>
          </w:p>
          <w:p w14:paraId="44F0215B" w14:textId="77777777" w:rsidR="00DF44FD" w:rsidRPr="00E54B6E" w:rsidRDefault="00DF44FD" w:rsidP="00DF44FD">
            <w:pPr>
              <w:spacing w:line="240" w:lineRule="auto"/>
              <w:contextualSpacing/>
              <w:rPr>
                <w:rFonts w:ascii="Lato" w:hAnsi="Lato" w:cs="Arial"/>
                <w:sz w:val="18"/>
                <w:szCs w:val="18"/>
              </w:rPr>
            </w:pPr>
            <w:r w:rsidRPr="00E54B6E">
              <w:rPr>
                <w:rFonts w:ascii="Lato" w:hAnsi="Lato" w:cs="Arial"/>
                <w:sz w:val="18"/>
                <w:szCs w:val="18"/>
              </w:rPr>
              <w:t>Zapis zgodny z Dyrektywą; ocena stopnia ciężkości choroby należy do osoby kwalifikującej.</w:t>
            </w:r>
          </w:p>
          <w:p w14:paraId="4B3C7C85" w14:textId="77777777" w:rsidR="00DF44FD" w:rsidRPr="00E54B6E" w:rsidRDefault="00DF44FD" w:rsidP="00DF44FD">
            <w:pPr>
              <w:spacing w:line="240" w:lineRule="auto"/>
              <w:contextualSpacing/>
              <w:rPr>
                <w:rFonts w:ascii="Lato" w:hAnsi="Lato" w:cs="Arial"/>
                <w:sz w:val="18"/>
                <w:szCs w:val="18"/>
              </w:rPr>
            </w:pPr>
          </w:p>
          <w:p w14:paraId="12898AA3" w14:textId="77777777" w:rsidR="00DF44FD" w:rsidRPr="00E54B6E" w:rsidRDefault="00DF44FD" w:rsidP="00DF44FD">
            <w:pPr>
              <w:spacing w:line="240" w:lineRule="auto"/>
              <w:contextualSpacing/>
              <w:rPr>
                <w:rFonts w:ascii="Lato" w:hAnsi="Lato" w:cs="Arial"/>
                <w:sz w:val="18"/>
                <w:szCs w:val="18"/>
              </w:rPr>
            </w:pPr>
            <w:r w:rsidRPr="00E54B6E">
              <w:rPr>
                <w:rFonts w:ascii="Lato" w:hAnsi="Lato" w:cs="Arial"/>
                <w:sz w:val="18"/>
                <w:szCs w:val="18"/>
              </w:rPr>
              <w:t xml:space="preserve">Ad 5. Uwaga niezasadna </w:t>
            </w:r>
          </w:p>
          <w:p w14:paraId="41984430" w14:textId="77777777" w:rsidR="00DF44FD" w:rsidRPr="00E54B6E" w:rsidRDefault="00DF44FD" w:rsidP="00DF44FD">
            <w:pPr>
              <w:spacing w:line="240" w:lineRule="auto"/>
              <w:contextualSpacing/>
              <w:rPr>
                <w:rFonts w:ascii="Lato" w:hAnsi="Lato" w:cs="Arial"/>
                <w:sz w:val="18"/>
                <w:szCs w:val="18"/>
              </w:rPr>
            </w:pPr>
            <w:r w:rsidRPr="00E54B6E">
              <w:rPr>
                <w:rFonts w:ascii="Lato" w:hAnsi="Lato" w:cs="Arial"/>
                <w:sz w:val="18"/>
                <w:szCs w:val="18"/>
              </w:rPr>
              <w:t xml:space="preserve">Dyrektywa przewiduje dyskwalifikacje tylko w przypadku leczenia cukrzycy insuliną. Według uzyskanej opinii specjalisty farmakologa klinicznego lekiem uznanym za bezpieczny dla dawcy i biorcy jest </w:t>
            </w:r>
            <w:proofErr w:type="spellStart"/>
            <w:r w:rsidRPr="00E54B6E">
              <w:rPr>
                <w:rFonts w:ascii="Lato" w:hAnsi="Lato" w:cs="Arial"/>
                <w:sz w:val="18"/>
                <w:szCs w:val="18"/>
              </w:rPr>
              <w:t>metformina</w:t>
            </w:r>
            <w:proofErr w:type="spellEnd"/>
            <w:r w:rsidRPr="00E54B6E">
              <w:rPr>
                <w:rFonts w:ascii="Lato" w:hAnsi="Lato" w:cs="Arial"/>
                <w:sz w:val="18"/>
                <w:szCs w:val="18"/>
              </w:rPr>
              <w:t>.</w:t>
            </w:r>
          </w:p>
          <w:p w14:paraId="097CCF64" w14:textId="77777777" w:rsidR="00DF44FD" w:rsidRPr="00E54B6E" w:rsidRDefault="00DF44FD" w:rsidP="00DF44FD">
            <w:pPr>
              <w:spacing w:line="240" w:lineRule="auto"/>
              <w:contextualSpacing/>
              <w:rPr>
                <w:rFonts w:ascii="Lato" w:hAnsi="Lato" w:cs="Arial"/>
                <w:sz w:val="18"/>
                <w:szCs w:val="18"/>
              </w:rPr>
            </w:pPr>
          </w:p>
          <w:p w14:paraId="379FBD67" w14:textId="77777777" w:rsidR="00E54B6E" w:rsidRDefault="00E54B6E" w:rsidP="00DF44FD">
            <w:pPr>
              <w:spacing w:line="240" w:lineRule="auto"/>
              <w:contextualSpacing/>
              <w:rPr>
                <w:rFonts w:ascii="Lato" w:hAnsi="Lato" w:cs="Arial"/>
                <w:sz w:val="18"/>
                <w:szCs w:val="18"/>
              </w:rPr>
            </w:pPr>
          </w:p>
          <w:p w14:paraId="142CDCAA" w14:textId="10E83757" w:rsidR="00DF44FD" w:rsidRPr="00E54B6E" w:rsidRDefault="00DF44FD" w:rsidP="00DF44FD">
            <w:pPr>
              <w:spacing w:line="240" w:lineRule="auto"/>
              <w:contextualSpacing/>
              <w:rPr>
                <w:rFonts w:ascii="Lato" w:hAnsi="Lato" w:cs="Arial"/>
                <w:sz w:val="18"/>
                <w:szCs w:val="18"/>
              </w:rPr>
            </w:pPr>
            <w:r w:rsidRPr="00E54B6E">
              <w:rPr>
                <w:rFonts w:ascii="Lato" w:hAnsi="Lato" w:cs="Arial"/>
                <w:sz w:val="18"/>
                <w:szCs w:val="18"/>
              </w:rPr>
              <w:t xml:space="preserve">Ad 6. Uwaga niezasadna </w:t>
            </w:r>
          </w:p>
          <w:p w14:paraId="181A151E" w14:textId="77777777" w:rsidR="00DF44FD" w:rsidRPr="00E54B6E" w:rsidRDefault="00DF44FD" w:rsidP="00DF44FD">
            <w:pPr>
              <w:spacing w:line="240" w:lineRule="auto"/>
              <w:contextualSpacing/>
              <w:rPr>
                <w:rFonts w:ascii="Lato" w:hAnsi="Lato" w:cs="Arial"/>
                <w:sz w:val="18"/>
                <w:szCs w:val="18"/>
              </w:rPr>
            </w:pPr>
            <w:r w:rsidRPr="00E54B6E">
              <w:rPr>
                <w:rFonts w:ascii="Lato" w:hAnsi="Lato" w:cs="Arial"/>
                <w:sz w:val="18"/>
                <w:szCs w:val="18"/>
              </w:rPr>
              <w:t>Dyrektywa nie przewiduje dyskwalifikacji ze względu na przebycie żółtaczki o niejasnej etiologii. W projekcie Rozporządzenia w punkcie 2.2.1 została dodana lp. 14 – dotycząca dyskwalifikacji czasowej i konieczności wykluczenia WZW typu B i C.</w:t>
            </w:r>
          </w:p>
          <w:p w14:paraId="3BA8CB95" w14:textId="77777777" w:rsidR="00DF44FD" w:rsidRPr="00E54B6E" w:rsidRDefault="00DF44FD" w:rsidP="00DF44FD">
            <w:pPr>
              <w:spacing w:line="240" w:lineRule="auto"/>
              <w:contextualSpacing/>
              <w:rPr>
                <w:rFonts w:ascii="Lato" w:hAnsi="Lato" w:cs="Arial"/>
                <w:sz w:val="18"/>
                <w:szCs w:val="18"/>
              </w:rPr>
            </w:pPr>
          </w:p>
          <w:p w14:paraId="5596E8FF" w14:textId="77777777" w:rsidR="00DF44FD" w:rsidRPr="00E54B6E" w:rsidRDefault="00DF44FD" w:rsidP="00DF44FD">
            <w:pPr>
              <w:spacing w:line="240" w:lineRule="auto"/>
              <w:contextualSpacing/>
              <w:rPr>
                <w:rFonts w:ascii="Lato" w:hAnsi="Lato" w:cs="Arial"/>
                <w:sz w:val="18"/>
                <w:szCs w:val="18"/>
              </w:rPr>
            </w:pPr>
            <w:r w:rsidRPr="00E54B6E">
              <w:rPr>
                <w:rFonts w:ascii="Lato" w:hAnsi="Lato" w:cs="Arial"/>
                <w:sz w:val="18"/>
                <w:szCs w:val="18"/>
              </w:rPr>
              <w:t xml:space="preserve">Ad 7. Uwaga niezasadna </w:t>
            </w:r>
          </w:p>
          <w:p w14:paraId="19755E9F" w14:textId="77777777" w:rsidR="00DF44FD" w:rsidRPr="00E54B6E" w:rsidRDefault="00DF44FD" w:rsidP="00DF44FD">
            <w:pPr>
              <w:spacing w:line="240" w:lineRule="auto"/>
              <w:contextualSpacing/>
              <w:rPr>
                <w:rFonts w:ascii="Lato" w:hAnsi="Lato" w:cs="Arial"/>
                <w:sz w:val="18"/>
                <w:szCs w:val="18"/>
              </w:rPr>
            </w:pPr>
            <w:r w:rsidRPr="00E54B6E">
              <w:rPr>
                <w:rFonts w:ascii="Lato" w:hAnsi="Lato" w:cs="Arial"/>
                <w:sz w:val="18"/>
                <w:szCs w:val="18"/>
              </w:rPr>
              <w:t>Dyrektywa nie wymaga dyskwalifikacji ze względu na zaburzenia psychiczne. Jeżeli stan zdrowia psychicznego dawcy w trakcie kwalifikacji budzi wątpliwości, zaleca się uzyskanie opinii od lekarza psychiatry.</w:t>
            </w:r>
          </w:p>
          <w:p w14:paraId="46BBC763" w14:textId="77777777" w:rsidR="00DF44FD" w:rsidRPr="00E54B6E" w:rsidRDefault="00DF44FD" w:rsidP="00DF44FD">
            <w:pPr>
              <w:spacing w:line="240" w:lineRule="auto"/>
              <w:contextualSpacing/>
              <w:rPr>
                <w:rFonts w:ascii="Lato" w:hAnsi="Lato" w:cs="Arial"/>
                <w:sz w:val="18"/>
                <w:szCs w:val="18"/>
              </w:rPr>
            </w:pPr>
          </w:p>
          <w:p w14:paraId="2CDD01B3" w14:textId="77777777" w:rsidR="00DF44FD" w:rsidRPr="00E54B6E" w:rsidRDefault="00DF44FD" w:rsidP="00DF44FD">
            <w:pPr>
              <w:spacing w:line="240" w:lineRule="auto"/>
              <w:contextualSpacing/>
              <w:rPr>
                <w:rFonts w:ascii="Lato" w:hAnsi="Lato" w:cs="Arial"/>
                <w:sz w:val="18"/>
                <w:szCs w:val="18"/>
              </w:rPr>
            </w:pPr>
            <w:r w:rsidRPr="00E54B6E">
              <w:rPr>
                <w:rFonts w:ascii="Lato" w:hAnsi="Lato" w:cs="Arial"/>
                <w:sz w:val="18"/>
                <w:szCs w:val="18"/>
              </w:rPr>
              <w:t xml:space="preserve">Ad 8. </w:t>
            </w:r>
            <w:r w:rsidRPr="00E54B6E">
              <w:rPr>
                <w:rFonts w:ascii="Lato" w:hAnsi="Lato"/>
                <w:sz w:val="18"/>
                <w:szCs w:val="18"/>
              </w:rPr>
              <w:t xml:space="preserve"> </w:t>
            </w:r>
            <w:r w:rsidRPr="00E54B6E">
              <w:rPr>
                <w:rFonts w:ascii="Lato" w:hAnsi="Lato" w:cs="Arial"/>
                <w:sz w:val="18"/>
                <w:szCs w:val="18"/>
              </w:rPr>
              <w:t xml:space="preserve">Uwaga niezasadna </w:t>
            </w:r>
          </w:p>
          <w:p w14:paraId="3596F69C" w14:textId="77777777" w:rsidR="00DF44FD" w:rsidRPr="00E54B6E" w:rsidRDefault="00DF44FD" w:rsidP="00DF44FD">
            <w:pPr>
              <w:spacing w:line="240" w:lineRule="auto"/>
              <w:contextualSpacing/>
              <w:rPr>
                <w:rFonts w:ascii="Lato" w:hAnsi="Lato" w:cs="Arial"/>
                <w:sz w:val="18"/>
                <w:szCs w:val="18"/>
              </w:rPr>
            </w:pPr>
            <w:r w:rsidRPr="00E54B6E">
              <w:rPr>
                <w:rFonts w:ascii="Lato" w:hAnsi="Lato" w:cs="Arial"/>
                <w:sz w:val="18"/>
                <w:szCs w:val="18"/>
              </w:rPr>
              <w:t>Dyrektywa nie przewiduje dyskwalifikacji z powodu rzeżączki.</w:t>
            </w:r>
          </w:p>
          <w:p w14:paraId="7B7F9C8E" w14:textId="77777777" w:rsidR="00DF44FD" w:rsidRPr="00E54B6E" w:rsidRDefault="00DF44FD" w:rsidP="00DF44FD">
            <w:pPr>
              <w:spacing w:line="240" w:lineRule="auto"/>
              <w:contextualSpacing/>
              <w:rPr>
                <w:rFonts w:ascii="Lato" w:hAnsi="Lato" w:cs="Arial"/>
                <w:sz w:val="18"/>
                <w:szCs w:val="18"/>
              </w:rPr>
            </w:pPr>
            <w:r w:rsidRPr="00E54B6E">
              <w:rPr>
                <w:rFonts w:ascii="Lato" w:hAnsi="Lato" w:cs="Arial"/>
                <w:sz w:val="18"/>
                <w:szCs w:val="18"/>
              </w:rPr>
              <w:t xml:space="preserve"> 4 - miesięczna dyskwalifikacja wynika z wykonywania niezbędnych badań w </w:t>
            </w:r>
            <w:r w:rsidRPr="00E54B6E">
              <w:rPr>
                <w:rFonts w:ascii="Lato" w:hAnsi="Lato" w:cs="Arial"/>
                <w:sz w:val="18"/>
                <w:szCs w:val="18"/>
              </w:rPr>
              <w:lastRenderedPageBreak/>
              <w:t>kierunku innych czynników zakaźnych metodą NAT.</w:t>
            </w:r>
          </w:p>
          <w:p w14:paraId="69A5E447" w14:textId="77777777" w:rsidR="00DF44FD" w:rsidRPr="00E54B6E" w:rsidRDefault="00DF44FD" w:rsidP="00DF44FD">
            <w:pPr>
              <w:spacing w:line="240" w:lineRule="auto"/>
              <w:contextualSpacing/>
              <w:rPr>
                <w:rFonts w:ascii="Lato" w:hAnsi="Lato" w:cs="Arial"/>
                <w:sz w:val="18"/>
                <w:szCs w:val="18"/>
              </w:rPr>
            </w:pPr>
          </w:p>
          <w:p w14:paraId="1C3358D4" w14:textId="77777777" w:rsidR="00DF44FD" w:rsidRPr="00E54B6E" w:rsidRDefault="00DF44FD" w:rsidP="00DF44FD">
            <w:pPr>
              <w:spacing w:line="240" w:lineRule="auto"/>
              <w:contextualSpacing/>
              <w:rPr>
                <w:rFonts w:ascii="Lato" w:hAnsi="Lato" w:cs="Arial"/>
                <w:sz w:val="18"/>
                <w:szCs w:val="18"/>
              </w:rPr>
            </w:pPr>
          </w:p>
          <w:p w14:paraId="78E3791B" w14:textId="77777777" w:rsidR="00DF44FD" w:rsidRPr="00E54B6E" w:rsidRDefault="00DF44FD" w:rsidP="00DF44FD">
            <w:pPr>
              <w:spacing w:line="240" w:lineRule="auto"/>
              <w:contextualSpacing/>
              <w:rPr>
                <w:rFonts w:ascii="Lato" w:hAnsi="Lato" w:cs="Arial"/>
                <w:sz w:val="18"/>
                <w:szCs w:val="18"/>
              </w:rPr>
            </w:pPr>
          </w:p>
          <w:p w14:paraId="49A9F493" w14:textId="77777777" w:rsidR="00DF44FD" w:rsidRPr="00E54B6E" w:rsidRDefault="00DF44FD" w:rsidP="00DF44FD">
            <w:pPr>
              <w:spacing w:line="240" w:lineRule="auto"/>
              <w:contextualSpacing/>
              <w:rPr>
                <w:rFonts w:ascii="Lato" w:hAnsi="Lato" w:cs="Arial"/>
                <w:sz w:val="18"/>
                <w:szCs w:val="18"/>
              </w:rPr>
            </w:pPr>
            <w:r w:rsidRPr="00E54B6E">
              <w:rPr>
                <w:rFonts w:ascii="Lato" w:hAnsi="Lato" w:cs="Arial"/>
                <w:sz w:val="18"/>
                <w:szCs w:val="18"/>
              </w:rPr>
              <w:t xml:space="preserve">Ad 9. </w:t>
            </w:r>
            <w:r w:rsidRPr="00E54B6E">
              <w:rPr>
                <w:rFonts w:ascii="Lato" w:hAnsi="Lato"/>
                <w:sz w:val="18"/>
                <w:szCs w:val="18"/>
              </w:rPr>
              <w:t xml:space="preserve"> </w:t>
            </w:r>
            <w:r w:rsidRPr="00E54B6E">
              <w:rPr>
                <w:rFonts w:ascii="Lato" w:hAnsi="Lato" w:cs="Arial"/>
                <w:sz w:val="18"/>
                <w:szCs w:val="18"/>
              </w:rPr>
              <w:t xml:space="preserve">Uwaga niezasadna  Dyskwalifikacja  4 - miesięczna od zakończenia kontaktów seksualnych wynika z wykonywania niezbędnych badań w kierunku czynników zakaźnych metodą NAT. </w:t>
            </w:r>
          </w:p>
          <w:p w14:paraId="1818774F" w14:textId="77777777" w:rsidR="00DF44FD" w:rsidRPr="00E54B6E" w:rsidRDefault="00DF44FD" w:rsidP="00DF44FD">
            <w:pPr>
              <w:spacing w:line="240" w:lineRule="auto"/>
              <w:contextualSpacing/>
              <w:rPr>
                <w:rFonts w:ascii="Lato" w:hAnsi="Lato" w:cs="Arial"/>
                <w:sz w:val="18"/>
                <w:szCs w:val="18"/>
              </w:rPr>
            </w:pPr>
          </w:p>
          <w:p w14:paraId="6FDB6D8D" w14:textId="77777777" w:rsidR="00DF44FD" w:rsidRPr="00E54B6E" w:rsidRDefault="00DF44FD" w:rsidP="00DF44FD">
            <w:pPr>
              <w:spacing w:line="240" w:lineRule="auto"/>
              <w:contextualSpacing/>
              <w:rPr>
                <w:rFonts w:ascii="Lato" w:hAnsi="Lato" w:cs="Arial"/>
                <w:sz w:val="18"/>
                <w:szCs w:val="18"/>
              </w:rPr>
            </w:pPr>
            <w:r w:rsidRPr="00E54B6E">
              <w:rPr>
                <w:rFonts w:ascii="Lato" w:hAnsi="Lato" w:cs="Arial"/>
                <w:sz w:val="18"/>
                <w:szCs w:val="18"/>
              </w:rPr>
              <w:t xml:space="preserve">Ad 10. </w:t>
            </w:r>
            <w:r w:rsidRPr="00E54B6E">
              <w:rPr>
                <w:rFonts w:ascii="Lato" w:hAnsi="Lato"/>
                <w:sz w:val="18"/>
                <w:szCs w:val="18"/>
              </w:rPr>
              <w:t xml:space="preserve"> </w:t>
            </w:r>
            <w:r w:rsidRPr="00E54B6E">
              <w:rPr>
                <w:rFonts w:ascii="Lato" w:hAnsi="Lato" w:cs="Arial"/>
                <w:sz w:val="18"/>
                <w:szCs w:val="18"/>
              </w:rPr>
              <w:t>Uwaga niezasadna Dyrektywa nie przewiduje dyskwalifikacji z powodu odczulania.</w:t>
            </w:r>
          </w:p>
          <w:p w14:paraId="5006A4B2" w14:textId="77777777" w:rsidR="00DF44FD" w:rsidRPr="00E54B6E" w:rsidRDefault="00DF44FD" w:rsidP="00DF44FD">
            <w:pPr>
              <w:spacing w:line="240" w:lineRule="auto"/>
              <w:contextualSpacing/>
              <w:rPr>
                <w:rFonts w:ascii="Lato" w:hAnsi="Lato" w:cs="Arial"/>
                <w:sz w:val="18"/>
                <w:szCs w:val="18"/>
              </w:rPr>
            </w:pPr>
          </w:p>
          <w:p w14:paraId="29E91EDA" w14:textId="77777777" w:rsidR="00DF44FD" w:rsidRPr="00E54B6E" w:rsidRDefault="00DF44FD" w:rsidP="00DF44FD">
            <w:pPr>
              <w:spacing w:line="240" w:lineRule="auto"/>
              <w:contextualSpacing/>
              <w:rPr>
                <w:rFonts w:ascii="Lato" w:hAnsi="Lato" w:cs="Arial"/>
                <w:sz w:val="18"/>
                <w:szCs w:val="18"/>
              </w:rPr>
            </w:pPr>
          </w:p>
          <w:p w14:paraId="1B4C9ABC" w14:textId="77777777" w:rsidR="00DF44FD" w:rsidRPr="00E54B6E" w:rsidRDefault="00DF44FD" w:rsidP="00DF44FD">
            <w:pPr>
              <w:spacing w:line="240" w:lineRule="auto"/>
              <w:contextualSpacing/>
              <w:rPr>
                <w:rFonts w:ascii="Lato" w:hAnsi="Lato" w:cs="Arial"/>
                <w:sz w:val="18"/>
                <w:szCs w:val="18"/>
              </w:rPr>
            </w:pPr>
            <w:r w:rsidRPr="00E54B6E">
              <w:rPr>
                <w:rFonts w:ascii="Lato" w:hAnsi="Lato" w:cs="Arial"/>
                <w:sz w:val="18"/>
                <w:szCs w:val="18"/>
              </w:rPr>
              <w:t xml:space="preserve">Ad 11.  Uwaga niezasadna Dyrektywa przewiduje dyskwalifikacje tylko w przypadku leczenia cukrzycy insuliną. Według uzyskanej opinii specjalisty farmakologa klinicznego lekiem uznanym za bezpieczny dla dawcy i biorcy jest </w:t>
            </w:r>
            <w:proofErr w:type="spellStart"/>
            <w:r w:rsidRPr="00E54B6E">
              <w:rPr>
                <w:rFonts w:ascii="Lato" w:hAnsi="Lato" w:cs="Arial"/>
                <w:sz w:val="18"/>
                <w:szCs w:val="18"/>
              </w:rPr>
              <w:t>metformina</w:t>
            </w:r>
            <w:proofErr w:type="spellEnd"/>
            <w:r w:rsidRPr="00E54B6E">
              <w:rPr>
                <w:rFonts w:ascii="Lato" w:hAnsi="Lato" w:cs="Arial"/>
                <w:sz w:val="18"/>
                <w:szCs w:val="18"/>
              </w:rPr>
              <w:t>.</w:t>
            </w:r>
          </w:p>
          <w:p w14:paraId="64D8F164" w14:textId="77777777" w:rsidR="00DF44FD" w:rsidRPr="00E54B6E" w:rsidRDefault="00DF44FD" w:rsidP="00DF44FD">
            <w:pPr>
              <w:spacing w:line="240" w:lineRule="auto"/>
              <w:contextualSpacing/>
              <w:rPr>
                <w:rFonts w:ascii="Lato" w:hAnsi="Lato" w:cs="Arial"/>
                <w:sz w:val="18"/>
                <w:szCs w:val="18"/>
              </w:rPr>
            </w:pPr>
          </w:p>
          <w:p w14:paraId="71B17406" w14:textId="77777777" w:rsidR="00DF44FD" w:rsidRPr="00E54B6E" w:rsidRDefault="00DF44FD" w:rsidP="00DF44FD">
            <w:pPr>
              <w:spacing w:line="240" w:lineRule="auto"/>
              <w:contextualSpacing/>
              <w:rPr>
                <w:rFonts w:ascii="Lato" w:hAnsi="Lato" w:cs="Arial"/>
                <w:sz w:val="18"/>
                <w:szCs w:val="18"/>
              </w:rPr>
            </w:pPr>
            <w:r w:rsidRPr="00E54B6E">
              <w:rPr>
                <w:rFonts w:ascii="Lato" w:hAnsi="Lato" w:cs="Arial"/>
                <w:sz w:val="18"/>
                <w:szCs w:val="18"/>
              </w:rPr>
              <w:t>Ad 12.  Uwaga niezasadna Dyrektywa, Guide i wytyczne WHO nie zawierają zapisu dotyczącego miesiączki; prawidłowe krwawienie miesięczne nie stanowi zagrożenia dla dawczyni.</w:t>
            </w:r>
          </w:p>
          <w:p w14:paraId="3FBCFD32" w14:textId="77777777" w:rsidR="00DF44FD" w:rsidRPr="00E54B6E" w:rsidRDefault="00DF44FD" w:rsidP="00DF44FD">
            <w:pPr>
              <w:spacing w:line="240" w:lineRule="auto"/>
              <w:contextualSpacing/>
              <w:rPr>
                <w:rFonts w:ascii="Lato" w:hAnsi="Lato" w:cs="Arial"/>
                <w:sz w:val="18"/>
                <w:szCs w:val="18"/>
              </w:rPr>
            </w:pPr>
          </w:p>
          <w:p w14:paraId="504A3A1C" w14:textId="77777777" w:rsidR="00DF44FD" w:rsidRPr="00E54B6E" w:rsidRDefault="00DF44FD" w:rsidP="00DF44FD">
            <w:pPr>
              <w:spacing w:line="240" w:lineRule="auto"/>
              <w:contextualSpacing/>
              <w:rPr>
                <w:rFonts w:ascii="Lato" w:hAnsi="Lato" w:cs="Arial"/>
                <w:sz w:val="18"/>
                <w:szCs w:val="18"/>
              </w:rPr>
            </w:pPr>
            <w:r w:rsidRPr="00E54B6E">
              <w:rPr>
                <w:rFonts w:ascii="Lato" w:hAnsi="Lato" w:cs="Arial"/>
                <w:sz w:val="18"/>
                <w:szCs w:val="18"/>
              </w:rPr>
              <w:t xml:space="preserve">Ad 13. </w:t>
            </w:r>
            <w:r w:rsidRPr="00E54B6E">
              <w:rPr>
                <w:rFonts w:ascii="Lato" w:hAnsi="Lato"/>
                <w:sz w:val="18"/>
                <w:szCs w:val="18"/>
              </w:rPr>
              <w:t xml:space="preserve"> </w:t>
            </w:r>
            <w:r w:rsidRPr="00E54B6E">
              <w:rPr>
                <w:rFonts w:ascii="Lato" w:hAnsi="Lato" w:cs="Arial"/>
                <w:sz w:val="18"/>
                <w:szCs w:val="18"/>
              </w:rPr>
              <w:t>Uwaga niezasadna</w:t>
            </w:r>
          </w:p>
          <w:p w14:paraId="4AA420EF" w14:textId="77777777" w:rsidR="00DF44FD" w:rsidRPr="00E54B6E" w:rsidRDefault="00DF44FD" w:rsidP="00DF44FD">
            <w:pPr>
              <w:spacing w:line="240" w:lineRule="auto"/>
              <w:contextualSpacing/>
              <w:rPr>
                <w:rFonts w:ascii="Lato" w:hAnsi="Lato" w:cs="Arial"/>
                <w:sz w:val="18"/>
                <w:szCs w:val="18"/>
              </w:rPr>
            </w:pPr>
            <w:r w:rsidRPr="00E54B6E">
              <w:rPr>
                <w:rFonts w:ascii="Lato" w:hAnsi="Lato" w:cs="Arial"/>
                <w:sz w:val="18"/>
                <w:szCs w:val="18"/>
              </w:rPr>
              <w:t>Zapis zgodny z Guide</w:t>
            </w:r>
          </w:p>
          <w:p w14:paraId="159045B9" w14:textId="77777777" w:rsidR="00DF44FD" w:rsidRPr="00E54B6E" w:rsidRDefault="00DF44FD" w:rsidP="00DF44FD">
            <w:pPr>
              <w:spacing w:line="240" w:lineRule="auto"/>
              <w:contextualSpacing/>
              <w:rPr>
                <w:rFonts w:ascii="Lato" w:hAnsi="Lato" w:cs="Arial"/>
                <w:sz w:val="18"/>
                <w:szCs w:val="18"/>
              </w:rPr>
            </w:pPr>
          </w:p>
          <w:p w14:paraId="5ACF75F7" w14:textId="77777777" w:rsidR="00DF44FD" w:rsidRPr="00E54B6E" w:rsidRDefault="00DF44FD" w:rsidP="00DF44FD">
            <w:pPr>
              <w:spacing w:line="240" w:lineRule="auto"/>
              <w:contextualSpacing/>
              <w:rPr>
                <w:rFonts w:ascii="Lato" w:hAnsi="Lato" w:cs="Arial"/>
                <w:sz w:val="18"/>
                <w:szCs w:val="18"/>
              </w:rPr>
            </w:pPr>
          </w:p>
          <w:p w14:paraId="63ED6191" w14:textId="77777777" w:rsidR="00DF44FD" w:rsidRPr="00E54B6E" w:rsidRDefault="00DF44FD" w:rsidP="00DF44FD">
            <w:pPr>
              <w:spacing w:line="240" w:lineRule="auto"/>
              <w:contextualSpacing/>
              <w:rPr>
                <w:rFonts w:ascii="Lato" w:hAnsi="Lato" w:cs="Arial"/>
                <w:sz w:val="18"/>
                <w:szCs w:val="18"/>
              </w:rPr>
            </w:pPr>
          </w:p>
          <w:p w14:paraId="24C4D38A" w14:textId="77777777" w:rsidR="00DF44FD" w:rsidRPr="00E54B6E" w:rsidRDefault="00DF44FD" w:rsidP="00DF44FD">
            <w:pPr>
              <w:spacing w:line="240" w:lineRule="auto"/>
              <w:contextualSpacing/>
              <w:rPr>
                <w:rFonts w:ascii="Lato" w:hAnsi="Lato" w:cs="Arial"/>
                <w:sz w:val="18"/>
                <w:szCs w:val="18"/>
              </w:rPr>
            </w:pPr>
          </w:p>
          <w:p w14:paraId="2DF42322" w14:textId="77777777" w:rsidR="00DF44FD" w:rsidRPr="00E54B6E" w:rsidRDefault="00DF44FD" w:rsidP="00DF44FD">
            <w:pPr>
              <w:spacing w:line="240" w:lineRule="auto"/>
              <w:contextualSpacing/>
              <w:rPr>
                <w:rFonts w:ascii="Lato" w:hAnsi="Lato" w:cs="Arial"/>
                <w:sz w:val="18"/>
                <w:szCs w:val="18"/>
              </w:rPr>
            </w:pPr>
          </w:p>
          <w:p w14:paraId="09F4AC91" w14:textId="77777777" w:rsidR="00DF44FD" w:rsidRPr="00E54B6E" w:rsidRDefault="00DF44FD" w:rsidP="00DF44FD">
            <w:pPr>
              <w:spacing w:line="240" w:lineRule="auto"/>
              <w:contextualSpacing/>
              <w:rPr>
                <w:rFonts w:ascii="Lato" w:hAnsi="Lato" w:cs="Arial"/>
                <w:sz w:val="18"/>
                <w:szCs w:val="18"/>
              </w:rPr>
            </w:pPr>
          </w:p>
          <w:p w14:paraId="0A8CE8A8" w14:textId="77777777" w:rsidR="00DF44FD" w:rsidRPr="00E54B6E" w:rsidRDefault="00DF44FD" w:rsidP="00DF44FD">
            <w:pPr>
              <w:spacing w:line="240" w:lineRule="auto"/>
              <w:contextualSpacing/>
              <w:rPr>
                <w:rFonts w:ascii="Lato" w:hAnsi="Lato" w:cs="Arial"/>
                <w:sz w:val="18"/>
                <w:szCs w:val="18"/>
              </w:rPr>
            </w:pPr>
          </w:p>
          <w:p w14:paraId="290DA8E3" w14:textId="77777777" w:rsidR="00DF44FD" w:rsidRPr="00E54B6E" w:rsidRDefault="00DF44FD" w:rsidP="00DF44FD">
            <w:pPr>
              <w:spacing w:line="240" w:lineRule="auto"/>
              <w:rPr>
                <w:rFonts w:ascii="Lato" w:hAnsi="Lato" w:cs="Arial"/>
                <w:sz w:val="18"/>
                <w:szCs w:val="18"/>
              </w:rPr>
            </w:pPr>
            <w:r w:rsidRPr="00E54B6E">
              <w:rPr>
                <w:rFonts w:ascii="Lato" w:hAnsi="Lato" w:cs="Arial"/>
                <w:sz w:val="18"/>
                <w:szCs w:val="18"/>
              </w:rPr>
              <w:lastRenderedPageBreak/>
              <w:t>Uwagi odnośnie konsekwencji liberalizacji przeciwwskazań do pobrania krwi i poszerzenia grupy dawców:</w:t>
            </w:r>
          </w:p>
          <w:p w14:paraId="0C14E5C8" w14:textId="77777777" w:rsidR="00DF44FD" w:rsidRPr="00E54B6E" w:rsidRDefault="00DF44FD" w:rsidP="00DF44FD">
            <w:pPr>
              <w:spacing w:after="160" w:line="240" w:lineRule="auto"/>
              <w:rPr>
                <w:rFonts w:ascii="Lato" w:hAnsi="Lato" w:cs="Arial"/>
                <w:sz w:val="18"/>
                <w:szCs w:val="18"/>
              </w:rPr>
            </w:pPr>
            <w:r w:rsidRPr="00E54B6E">
              <w:rPr>
                <w:rFonts w:ascii="Lato" w:hAnsi="Lato" w:cs="Arial"/>
                <w:sz w:val="18"/>
                <w:szCs w:val="18"/>
              </w:rPr>
              <w:t>Rozporządzenie miało dotychczas w niektórych aspektach  charakter bardziej rygorystyczny, niż zapisy Dyrektywy i Guide* (dotyczy to np. zapisu dotyczącego możliwości oddawania krwi przez osoby z cukrzycą)- ich złagodzenie wydaje się zatem uzasadnione.</w:t>
            </w:r>
          </w:p>
          <w:p w14:paraId="18BFF0EA" w14:textId="77777777" w:rsidR="00DF44FD" w:rsidRPr="00E54B6E" w:rsidRDefault="00DF44FD" w:rsidP="00DF44FD">
            <w:pPr>
              <w:spacing w:after="160" w:line="240" w:lineRule="auto"/>
              <w:rPr>
                <w:rFonts w:ascii="Lato" w:hAnsi="Lato" w:cs="Arial"/>
                <w:sz w:val="18"/>
                <w:szCs w:val="18"/>
              </w:rPr>
            </w:pPr>
            <w:r w:rsidRPr="00E54B6E">
              <w:rPr>
                <w:rFonts w:ascii="Lato" w:hAnsi="Lato" w:cs="Arial"/>
                <w:sz w:val="18"/>
                <w:szCs w:val="18"/>
              </w:rPr>
              <w:t>Nie wszystkie proponowane zapisy Rozporządzenia wiążą się z liberalizacją zaleceń, niektóre z nich mają nawet charakter bardziej rygorystyczny, niż  dotychczas obowiązujące (np. zapis dotyczący dopuszczalnych wartości ciśnienia tętniczego); może to dotyczyć dużej liczby potencjalnych dawców – wg niedawnej oceny NFZ, około 10 mln dorosłych Polaków cierpi na nadciśnienie tętnicze.</w:t>
            </w:r>
          </w:p>
          <w:p w14:paraId="168A10E2" w14:textId="77777777" w:rsidR="00DF44FD" w:rsidRPr="00E54B6E" w:rsidRDefault="00DF44FD" w:rsidP="00DF44FD">
            <w:pPr>
              <w:spacing w:after="160" w:line="240" w:lineRule="auto"/>
              <w:rPr>
                <w:rFonts w:ascii="Lato" w:hAnsi="Lato" w:cs="Arial"/>
                <w:sz w:val="18"/>
                <w:szCs w:val="18"/>
              </w:rPr>
            </w:pPr>
            <w:r w:rsidRPr="00E54B6E">
              <w:rPr>
                <w:rFonts w:ascii="Lato" w:hAnsi="Lato" w:cs="Arial"/>
                <w:sz w:val="18"/>
                <w:szCs w:val="18"/>
              </w:rPr>
              <w:t>Ostateczna decyzja odnośnie możliwości oddawania krwi ma w każdym przypadku charakter indywidualny i zależy od oceny sytuacji przez osobę kwalifikującą; w niektórych przypadkach konieczne może być zasięgnięcie dodatkowej opinii lekarza specjalisty.</w:t>
            </w:r>
          </w:p>
          <w:p w14:paraId="49B679B4" w14:textId="77777777" w:rsidR="00DF44FD" w:rsidRPr="00E54B6E" w:rsidRDefault="00DF44FD" w:rsidP="00DF44FD">
            <w:pPr>
              <w:spacing w:line="240" w:lineRule="auto"/>
              <w:rPr>
                <w:rFonts w:ascii="Lato" w:hAnsi="Lato" w:cs="Arial"/>
                <w:sz w:val="18"/>
                <w:szCs w:val="18"/>
              </w:rPr>
            </w:pPr>
            <w:r w:rsidRPr="00E54B6E">
              <w:rPr>
                <w:rFonts w:ascii="Lato" w:hAnsi="Lato" w:cs="Arial"/>
                <w:sz w:val="18"/>
                <w:szCs w:val="18"/>
              </w:rPr>
              <w:t xml:space="preserve">Jak wynika z powyższego, złagodzenie niektórych zapisów Rozporządzenia nie przekłada się w sposób automatyczny na zmniejszenie dbałości o zdrowie dawców i biorców </w:t>
            </w:r>
            <w:r w:rsidRPr="00E54B6E">
              <w:rPr>
                <w:rFonts w:ascii="Lato" w:hAnsi="Lato" w:cs="Arial"/>
                <w:sz w:val="18"/>
                <w:szCs w:val="18"/>
              </w:rPr>
              <w:lastRenderedPageBreak/>
              <w:t xml:space="preserve">krwi; trudno również ocenić wpływ proponowanych zmian w Rozporządzeniu na liczbę potencjalnych dawców, gdyż wynika ona z wielu trudnych do przewidzenia czynników (np. sytuacja epidemiczna, brak okazji do oddawania krwi przez niektóre osoby czy względy ekonomiczne). </w:t>
            </w:r>
          </w:p>
          <w:p w14:paraId="7867D2CB" w14:textId="77777777" w:rsidR="00DF44FD" w:rsidRPr="00E54B6E" w:rsidRDefault="00DF44FD" w:rsidP="00DF44FD">
            <w:pPr>
              <w:spacing w:line="240" w:lineRule="auto"/>
              <w:rPr>
                <w:rFonts w:ascii="Lato" w:hAnsi="Lato" w:cs="Arial"/>
                <w:sz w:val="18"/>
                <w:szCs w:val="18"/>
              </w:rPr>
            </w:pPr>
            <w:r w:rsidRPr="00E54B6E">
              <w:rPr>
                <w:rFonts w:ascii="Lato" w:hAnsi="Lato" w:cs="Arial"/>
                <w:sz w:val="18"/>
                <w:szCs w:val="18"/>
              </w:rPr>
              <w:t>Warto również zauważyć, że najczęstszą przyczyną dyskwalifikacji krwiodawców na terenie Polski jest od lat obniżone stężenie hemoglobiny – projekt zmian w Rozporządzeniu nie zawiera zapisów dotyczących tego zagadnienia (aktualne odpowiadają zapisom Dyrektywy).</w:t>
            </w:r>
          </w:p>
          <w:p w14:paraId="420E9EDF" w14:textId="77777777" w:rsidR="00DF44FD" w:rsidRPr="00E54B6E" w:rsidRDefault="00DF44FD" w:rsidP="00DF44FD">
            <w:pPr>
              <w:spacing w:line="240" w:lineRule="auto"/>
              <w:rPr>
                <w:rFonts w:ascii="Lato" w:hAnsi="Lato" w:cs="Arial"/>
                <w:i/>
                <w:iCs/>
                <w:sz w:val="18"/>
                <w:szCs w:val="18"/>
              </w:rPr>
            </w:pPr>
            <w:r w:rsidRPr="00E54B6E">
              <w:rPr>
                <w:rFonts w:ascii="Lato" w:hAnsi="Lato" w:cs="Arial"/>
                <w:i/>
                <w:iCs/>
                <w:sz w:val="18"/>
                <w:szCs w:val="18"/>
              </w:rPr>
              <w:t>*Dyrektywa Komisji 2004/33/WE z dnia 22 marca 2004 r. wykonująca dyrektywę 2002/98/WE Parlamentu Europejskiego i Rady w zakresie niektórych wymagań technicznych dotyczących krwi i składników krwi.</w:t>
            </w:r>
          </w:p>
          <w:p w14:paraId="45F1A4DB" w14:textId="77777777" w:rsidR="00DF44FD" w:rsidRPr="00E54B6E" w:rsidRDefault="00DF44FD" w:rsidP="00DF44FD">
            <w:pPr>
              <w:spacing w:line="240" w:lineRule="auto"/>
              <w:contextualSpacing/>
              <w:rPr>
                <w:rFonts w:ascii="Lato" w:hAnsi="Lato" w:cs="Arial"/>
                <w:sz w:val="18"/>
                <w:szCs w:val="18"/>
              </w:rPr>
            </w:pPr>
            <w:r w:rsidRPr="00E54B6E">
              <w:rPr>
                <w:rFonts w:ascii="Lato" w:hAnsi="Lato" w:cs="Arial"/>
                <w:i/>
                <w:iCs/>
                <w:sz w:val="18"/>
                <w:szCs w:val="18"/>
                <w:lang w:val="en-GB"/>
              </w:rPr>
              <w:t>European Directorate for the Quality of Medicines and HealthCare (EDQM): Guide to the preparation, use and quality assurance of blood components, Recommendation No. R (95) 15, 21th Edition, 2023.</w:t>
            </w:r>
          </w:p>
          <w:p w14:paraId="624E4936" w14:textId="77777777" w:rsidR="00DF44FD" w:rsidRPr="00E54B6E" w:rsidRDefault="00DF44FD" w:rsidP="00DF44FD">
            <w:pPr>
              <w:spacing w:line="240" w:lineRule="auto"/>
              <w:contextualSpacing/>
              <w:rPr>
                <w:rFonts w:ascii="Lato" w:hAnsi="Lato" w:cs="Arial"/>
                <w:sz w:val="18"/>
                <w:szCs w:val="18"/>
              </w:rPr>
            </w:pPr>
          </w:p>
        </w:tc>
      </w:tr>
    </w:tbl>
    <w:p w14:paraId="77DC6D6F" w14:textId="5E5F2772" w:rsidR="00492004" w:rsidRDefault="00492004" w:rsidP="00C32853">
      <w:pPr>
        <w:spacing w:after="0" w:line="240" w:lineRule="auto"/>
        <w:contextualSpacing/>
        <w:jc w:val="both"/>
        <w:rPr>
          <w:rFonts w:ascii="Arial" w:hAnsi="Arial" w:cs="Arial"/>
          <w:b/>
          <w:sz w:val="18"/>
          <w:szCs w:val="18"/>
        </w:rPr>
      </w:pPr>
    </w:p>
    <w:p w14:paraId="11117EE4" w14:textId="77777777" w:rsidR="008F3AFC" w:rsidRDefault="008F3AFC" w:rsidP="00492004">
      <w:pPr>
        <w:spacing w:line="240" w:lineRule="auto"/>
        <w:contextualSpacing/>
        <w:jc w:val="both"/>
        <w:rPr>
          <w:rFonts w:ascii="Arial" w:hAnsi="Arial" w:cs="Arial"/>
          <w:b/>
          <w:sz w:val="18"/>
          <w:szCs w:val="18"/>
        </w:rPr>
      </w:pPr>
    </w:p>
    <w:p w14:paraId="7FF55FF8" w14:textId="77777777" w:rsidR="00492004" w:rsidRDefault="00492004" w:rsidP="00492004">
      <w:pPr>
        <w:spacing w:line="240" w:lineRule="auto"/>
        <w:contextualSpacing/>
        <w:jc w:val="both"/>
        <w:rPr>
          <w:rFonts w:ascii="Arial" w:hAnsi="Arial" w:cs="Arial"/>
          <w:b/>
          <w:sz w:val="18"/>
          <w:szCs w:val="18"/>
        </w:rPr>
      </w:pPr>
    </w:p>
    <w:p w14:paraId="036FA2E3" w14:textId="77777777" w:rsidR="00492004" w:rsidRDefault="00492004" w:rsidP="00492004">
      <w:pPr>
        <w:spacing w:line="240" w:lineRule="auto"/>
        <w:contextualSpacing/>
        <w:jc w:val="both"/>
        <w:rPr>
          <w:rFonts w:ascii="Arial" w:hAnsi="Arial" w:cs="Arial"/>
          <w:b/>
          <w:sz w:val="18"/>
          <w:szCs w:val="18"/>
        </w:rPr>
      </w:pPr>
    </w:p>
    <w:p w14:paraId="5BF1D673" w14:textId="77777777" w:rsidR="00492004" w:rsidRPr="009D673B" w:rsidRDefault="00492004" w:rsidP="00492004">
      <w:pPr>
        <w:spacing w:after="0" w:line="240" w:lineRule="auto"/>
        <w:contextualSpacing/>
        <w:jc w:val="both"/>
        <w:rPr>
          <w:rFonts w:ascii="Arial" w:hAnsi="Arial" w:cs="Arial"/>
          <w:b/>
          <w:sz w:val="18"/>
          <w:szCs w:val="18"/>
        </w:rPr>
      </w:pPr>
      <w:r w:rsidRPr="009D673B">
        <w:rPr>
          <w:rFonts w:ascii="Arial" w:hAnsi="Arial" w:cs="Arial"/>
          <w:b/>
          <w:sz w:val="18"/>
          <w:szCs w:val="18"/>
        </w:rPr>
        <w:t>Informacja o braku uwag:</w:t>
      </w:r>
    </w:p>
    <w:p w14:paraId="7ECFE8CA" w14:textId="5755797D" w:rsidR="00492004" w:rsidRDefault="001801FB" w:rsidP="00492004">
      <w:pPr>
        <w:spacing w:after="0" w:line="240" w:lineRule="auto"/>
        <w:contextualSpacing/>
        <w:jc w:val="both"/>
        <w:rPr>
          <w:rFonts w:ascii="Arial" w:hAnsi="Arial" w:cs="Arial"/>
          <w:b/>
          <w:sz w:val="18"/>
          <w:szCs w:val="18"/>
        </w:rPr>
      </w:pPr>
      <w:r>
        <w:rPr>
          <w:rFonts w:ascii="Arial" w:hAnsi="Arial" w:cs="Arial"/>
          <w:b/>
          <w:sz w:val="18"/>
          <w:szCs w:val="18"/>
        </w:rPr>
        <w:t>Lubelski Związek Lekarzy Rodzinnych Pracodawców</w:t>
      </w:r>
    </w:p>
    <w:p w14:paraId="5E78B502" w14:textId="79FE617D" w:rsidR="00425DDD" w:rsidRDefault="00425DDD" w:rsidP="00492004">
      <w:pPr>
        <w:spacing w:after="0" w:line="240" w:lineRule="auto"/>
        <w:contextualSpacing/>
        <w:jc w:val="both"/>
        <w:rPr>
          <w:rFonts w:ascii="Arial" w:hAnsi="Arial" w:cs="Arial"/>
          <w:b/>
          <w:sz w:val="18"/>
          <w:szCs w:val="18"/>
        </w:rPr>
      </w:pPr>
      <w:r>
        <w:rPr>
          <w:rFonts w:ascii="Arial" w:hAnsi="Arial" w:cs="Arial"/>
          <w:b/>
          <w:sz w:val="18"/>
          <w:szCs w:val="18"/>
        </w:rPr>
        <w:t>Naczelna Rada Pielęgniarek i Położnych</w:t>
      </w:r>
    </w:p>
    <w:p w14:paraId="673672A5" w14:textId="1BDBC101" w:rsidR="00425DDD" w:rsidRDefault="00425DDD" w:rsidP="00492004">
      <w:pPr>
        <w:spacing w:after="0" w:line="240" w:lineRule="auto"/>
        <w:contextualSpacing/>
        <w:jc w:val="both"/>
        <w:rPr>
          <w:rFonts w:ascii="Arial" w:hAnsi="Arial" w:cs="Arial"/>
          <w:b/>
          <w:sz w:val="18"/>
          <w:szCs w:val="18"/>
        </w:rPr>
      </w:pPr>
      <w:proofErr w:type="spellStart"/>
      <w:r>
        <w:rPr>
          <w:rFonts w:ascii="Arial" w:hAnsi="Arial" w:cs="Arial"/>
          <w:b/>
          <w:sz w:val="18"/>
          <w:szCs w:val="18"/>
        </w:rPr>
        <w:t>RCKiK</w:t>
      </w:r>
      <w:proofErr w:type="spellEnd"/>
      <w:r>
        <w:rPr>
          <w:rFonts w:ascii="Arial" w:hAnsi="Arial" w:cs="Arial"/>
          <w:b/>
          <w:sz w:val="18"/>
          <w:szCs w:val="18"/>
        </w:rPr>
        <w:t xml:space="preserve"> Rzeszów</w:t>
      </w:r>
    </w:p>
    <w:p w14:paraId="2E324D3D" w14:textId="24CF6960" w:rsidR="00FF7FAC" w:rsidRPr="009D673B" w:rsidRDefault="00FF7FAC" w:rsidP="00492004">
      <w:pPr>
        <w:spacing w:after="0" w:line="240" w:lineRule="auto"/>
        <w:contextualSpacing/>
        <w:jc w:val="both"/>
        <w:rPr>
          <w:rFonts w:ascii="Arial" w:hAnsi="Arial" w:cs="Arial"/>
          <w:b/>
          <w:sz w:val="18"/>
          <w:szCs w:val="18"/>
        </w:rPr>
      </w:pPr>
      <w:proofErr w:type="spellStart"/>
      <w:r>
        <w:rPr>
          <w:rFonts w:ascii="Arial" w:hAnsi="Arial" w:cs="Arial"/>
          <w:b/>
          <w:sz w:val="18"/>
          <w:szCs w:val="18"/>
        </w:rPr>
        <w:lastRenderedPageBreak/>
        <w:t>RCKiK</w:t>
      </w:r>
      <w:proofErr w:type="spellEnd"/>
      <w:r>
        <w:rPr>
          <w:rFonts w:ascii="Arial" w:hAnsi="Arial" w:cs="Arial"/>
          <w:b/>
          <w:sz w:val="18"/>
          <w:szCs w:val="18"/>
        </w:rPr>
        <w:t xml:space="preserve"> Radom</w:t>
      </w:r>
    </w:p>
    <w:p w14:paraId="03793562" w14:textId="77777777" w:rsidR="00492004" w:rsidRPr="00146C0B" w:rsidRDefault="00492004" w:rsidP="00C32853">
      <w:pPr>
        <w:spacing w:after="0" w:line="240" w:lineRule="auto"/>
        <w:contextualSpacing/>
        <w:jc w:val="both"/>
        <w:rPr>
          <w:rFonts w:ascii="Arial" w:hAnsi="Arial" w:cs="Arial"/>
          <w:b/>
          <w:sz w:val="18"/>
          <w:szCs w:val="18"/>
        </w:rPr>
      </w:pPr>
    </w:p>
    <w:sectPr w:rsidR="00492004" w:rsidRPr="00146C0B" w:rsidSect="00DE52D1">
      <w:headerReference w:type="default" r:id="rId13"/>
      <w:footerReference w:type="default" r:id="rId14"/>
      <w:pgSz w:w="16838" w:h="11906" w:orient="landscape"/>
      <w:pgMar w:top="1416" w:right="1418" w:bottom="1418"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29F24" w14:textId="77777777" w:rsidR="0091387F" w:rsidRDefault="0091387F" w:rsidP="00C06136">
      <w:pPr>
        <w:spacing w:after="0" w:line="240" w:lineRule="auto"/>
      </w:pPr>
      <w:r>
        <w:separator/>
      </w:r>
    </w:p>
  </w:endnote>
  <w:endnote w:type="continuationSeparator" w:id="0">
    <w:p w14:paraId="26A625BB" w14:textId="77777777" w:rsidR="0091387F" w:rsidRDefault="0091387F" w:rsidP="00C06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witzerlandpl">
    <w:altName w:val="Calibri"/>
    <w:panose1 w:val="00000000000000000000"/>
    <w:charset w:val="EE"/>
    <w:family w:val="auto"/>
    <w:notTrueType/>
    <w:pitch w:val="default"/>
    <w:sig w:usb0="00000005" w:usb1="00000000" w:usb2="00000000" w:usb3="00000000" w:csb0="00000002"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381D7" w14:textId="67F7F31A" w:rsidR="00BC6C97" w:rsidRDefault="00BC6C97">
    <w:pPr>
      <w:pStyle w:val="Stopka"/>
      <w:jc w:val="center"/>
    </w:pPr>
    <w:r>
      <w:fldChar w:fldCharType="begin"/>
    </w:r>
    <w:r>
      <w:instrText xml:space="preserve"> PAGE   \* MERGEFORMAT </w:instrText>
    </w:r>
    <w:r>
      <w:fldChar w:fldCharType="separate"/>
    </w:r>
    <w:r w:rsidR="008735CC">
      <w:rPr>
        <w:noProof/>
      </w:rPr>
      <w:t>7</w:t>
    </w:r>
    <w:r>
      <w:rPr>
        <w:noProof/>
      </w:rPr>
      <w:fldChar w:fldCharType="end"/>
    </w:r>
  </w:p>
  <w:p w14:paraId="63A8D6F7" w14:textId="77777777" w:rsidR="00BC6C97" w:rsidRDefault="00BC6C97" w:rsidP="001D74A9">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414C5" w14:textId="77777777" w:rsidR="0091387F" w:rsidRDefault="0091387F" w:rsidP="00C06136">
      <w:pPr>
        <w:spacing w:after="0" w:line="240" w:lineRule="auto"/>
      </w:pPr>
      <w:r>
        <w:separator/>
      </w:r>
    </w:p>
  </w:footnote>
  <w:footnote w:type="continuationSeparator" w:id="0">
    <w:p w14:paraId="774BA5A3" w14:textId="77777777" w:rsidR="0091387F" w:rsidRDefault="0091387F" w:rsidP="00C06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DF16" w14:textId="77777777" w:rsidR="00584A89" w:rsidRDefault="00584A89" w:rsidP="00E228A0">
    <w:pPr>
      <w:pStyle w:val="Nagwek"/>
      <w:jc w:val="center"/>
      <w:rPr>
        <w:rFonts w:ascii="Arial" w:hAnsi="Arial" w:cs="Arial"/>
        <w:b/>
      </w:rPr>
    </w:pPr>
    <w:r>
      <w:rPr>
        <w:rFonts w:ascii="Arial" w:hAnsi="Arial" w:cs="Arial"/>
        <w:b/>
      </w:rPr>
      <w:t xml:space="preserve">RAPORT Z OPINIOWANIA I KONSULTACJI </w:t>
    </w:r>
  </w:p>
  <w:p w14:paraId="5DB68721" w14:textId="77777777" w:rsidR="00DF44FD" w:rsidRDefault="00BC6C97" w:rsidP="00DF44FD">
    <w:pPr>
      <w:pStyle w:val="Nagwek"/>
      <w:jc w:val="center"/>
      <w:rPr>
        <w:rFonts w:ascii="Arial" w:hAnsi="Arial" w:cs="Arial"/>
        <w:b/>
      </w:rPr>
    </w:pPr>
    <w:r>
      <w:rPr>
        <w:rFonts w:ascii="Arial" w:hAnsi="Arial" w:cs="Arial"/>
        <w:b/>
      </w:rPr>
      <w:t>DO PROJEKTU ROZP</w:t>
    </w:r>
    <w:r w:rsidR="00CD71AC">
      <w:rPr>
        <w:rFonts w:ascii="Arial" w:hAnsi="Arial" w:cs="Arial"/>
        <w:b/>
      </w:rPr>
      <w:t>O</w:t>
    </w:r>
    <w:r>
      <w:rPr>
        <w:rFonts w:ascii="Arial" w:hAnsi="Arial" w:cs="Arial"/>
        <w:b/>
      </w:rPr>
      <w:t xml:space="preserve">RZĄDZENIA </w:t>
    </w:r>
    <w:r w:rsidRPr="00C32853">
      <w:rPr>
        <w:rFonts w:ascii="Arial" w:hAnsi="Arial" w:cs="Arial"/>
        <w:b/>
      </w:rPr>
      <w:t xml:space="preserve">MINISTRA ZDROWIA </w:t>
    </w:r>
    <w:r w:rsidR="00DF44FD">
      <w:rPr>
        <w:rFonts w:ascii="Arial" w:hAnsi="Arial" w:cs="Arial"/>
        <w:b/>
      </w:rPr>
      <w:t>ZMIENIAJĄCEGO ROZPORZĄDZENIE W SPRAWIE WARUNKÓW POBIERANIA KRWI OD KANDYDATÓW NA DAWCÓW KRWI I DAWCÓW KRWI</w:t>
    </w:r>
  </w:p>
  <w:p w14:paraId="0CEADB4C" w14:textId="3E6ADCD2" w:rsidR="00002E17" w:rsidRDefault="00002E17" w:rsidP="00002E17">
    <w:pPr>
      <w:pStyle w:val="Nagwek"/>
      <w:jc w:val="center"/>
      <w:rPr>
        <w:rFonts w:ascii="Arial" w:hAnsi="Arial" w:cs="Arial"/>
        <w:b/>
      </w:rPr>
    </w:pPr>
  </w:p>
  <w:p w14:paraId="5DAECDFB" w14:textId="1333E2B2" w:rsidR="00BC6C97" w:rsidRDefault="00BC6C97" w:rsidP="00E228A0">
    <w:pPr>
      <w:pStyle w:val="Nagwek"/>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65"/>
        </w:tabs>
        <w:ind w:left="785" w:hanging="360"/>
      </w:pPr>
      <w:rPr>
        <w:rFonts w:ascii="Courier New" w:hAnsi="Courier New"/>
      </w:rPr>
    </w:lvl>
  </w:abstractNum>
  <w:abstractNum w:abstractNumId="1" w15:restartNumberingAfterBreak="0">
    <w:nsid w:val="00000007"/>
    <w:multiLevelType w:val="hybridMultilevel"/>
    <w:tmpl w:val="333AB10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13462F4"/>
    <w:multiLevelType w:val="hybridMultilevel"/>
    <w:tmpl w:val="E7821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CE52CF"/>
    <w:multiLevelType w:val="hybridMultilevel"/>
    <w:tmpl w:val="70944866"/>
    <w:lvl w:ilvl="0" w:tplc="C546C726">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E400A3"/>
    <w:multiLevelType w:val="hybridMultilevel"/>
    <w:tmpl w:val="9FDC51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73080F"/>
    <w:multiLevelType w:val="hybridMultilevel"/>
    <w:tmpl w:val="0BAE60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D06683"/>
    <w:multiLevelType w:val="hybridMultilevel"/>
    <w:tmpl w:val="3258D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FF1B23"/>
    <w:multiLevelType w:val="multilevel"/>
    <w:tmpl w:val="73CCF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C20A5C"/>
    <w:multiLevelType w:val="hybridMultilevel"/>
    <w:tmpl w:val="89F859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FA194E"/>
    <w:multiLevelType w:val="hybridMultilevel"/>
    <w:tmpl w:val="15A6F17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7C324A"/>
    <w:multiLevelType w:val="hybridMultilevel"/>
    <w:tmpl w:val="D26AE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CE098D"/>
    <w:multiLevelType w:val="hybridMultilevel"/>
    <w:tmpl w:val="3258D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9073CD"/>
    <w:multiLevelType w:val="hybridMultilevel"/>
    <w:tmpl w:val="B3BCE4B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865526"/>
    <w:multiLevelType w:val="hybridMultilevel"/>
    <w:tmpl w:val="9F8669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4020B6"/>
    <w:multiLevelType w:val="hybridMultilevel"/>
    <w:tmpl w:val="360A9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6B467A"/>
    <w:multiLevelType w:val="hybridMultilevel"/>
    <w:tmpl w:val="9D2664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D971B1A"/>
    <w:multiLevelType w:val="hybridMultilevel"/>
    <w:tmpl w:val="E5881A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CF70EA"/>
    <w:multiLevelType w:val="hybridMultilevel"/>
    <w:tmpl w:val="2CBA59A2"/>
    <w:lvl w:ilvl="0" w:tplc="F8882984">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30457C"/>
    <w:multiLevelType w:val="hybridMultilevel"/>
    <w:tmpl w:val="F38843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3B164C"/>
    <w:multiLevelType w:val="multilevel"/>
    <w:tmpl w:val="4124599A"/>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8720A3"/>
    <w:multiLevelType w:val="hybridMultilevel"/>
    <w:tmpl w:val="F38843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2110BD0"/>
    <w:multiLevelType w:val="multilevel"/>
    <w:tmpl w:val="C47A04F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57FF0CFB"/>
    <w:multiLevelType w:val="multilevel"/>
    <w:tmpl w:val="70AC078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5D6F3194"/>
    <w:multiLevelType w:val="hybridMultilevel"/>
    <w:tmpl w:val="769A94D6"/>
    <w:lvl w:ilvl="0" w:tplc="04150001">
      <w:start w:val="1"/>
      <w:numFmt w:val="bullet"/>
      <w:lvlText w:val=""/>
      <w:lvlJc w:val="left"/>
      <w:pPr>
        <w:ind w:left="1036" w:hanging="360"/>
      </w:pPr>
      <w:rPr>
        <w:rFonts w:ascii="Symbol" w:hAnsi="Symbol" w:hint="default"/>
      </w:rPr>
    </w:lvl>
    <w:lvl w:ilvl="1" w:tplc="04150003" w:tentative="1">
      <w:start w:val="1"/>
      <w:numFmt w:val="bullet"/>
      <w:lvlText w:val="o"/>
      <w:lvlJc w:val="left"/>
      <w:pPr>
        <w:ind w:left="1756" w:hanging="360"/>
      </w:pPr>
      <w:rPr>
        <w:rFonts w:ascii="Courier New" w:hAnsi="Courier New" w:cs="Courier New" w:hint="default"/>
      </w:rPr>
    </w:lvl>
    <w:lvl w:ilvl="2" w:tplc="04150005" w:tentative="1">
      <w:start w:val="1"/>
      <w:numFmt w:val="bullet"/>
      <w:lvlText w:val=""/>
      <w:lvlJc w:val="left"/>
      <w:pPr>
        <w:ind w:left="2476" w:hanging="360"/>
      </w:pPr>
      <w:rPr>
        <w:rFonts w:ascii="Wingdings" w:hAnsi="Wingdings" w:hint="default"/>
      </w:rPr>
    </w:lvl>
    <w:lvl w:ilvl="3" w:tplc="04150001" w:tentative="1">
      <w:start w:val="1"/>
      <w:numFmt w:val="bullet"/>
      <w:lvlText w:val=""/>
      <w:lvlJc w:val="left"/>
      <w:pPr>
        <w:ind w:left="3196" w:hanging="360"/>
      </w:pPr>
      <w:rPr>
        <w:rFonts w:ascii="Symbol" w:hAnsi="Symbol" w:hint="default"/>
      </w:rPr>
    </w:lvl>
    <w:lvl w:ilvl="4" w:tplc="04150003" w:tentative="1">
      <w:start w:val="1"/>
      <w:numFmt w:val="bullet"/>
      <w:lvlText w:val="o"/>
      <w:lvlJc w:val="left"/>
      <w:pPr>
        <w:ind w:left="3916" w:hanging="360"/>
      </w:pPr>
      <w:rPr>
        <w:rFonts w:ascii="Courier New" w:hAnsi="Courier New" w:cs="Courier New" w:hint="default"/>
      </w:rPr>
    </w:lvl>
    <w:lvl w:ilvl="5" w:tplc="04150005" w:tentative="1">
      <w:start w:val="1"/>
      <w:numFmt w:val="bullet"/>
      <w:lvlText w:val=""/>
      <w:lvlJc w:val="left"/>
      <w:pPr>
        <w:ind w:left="4636" w:hanging="360"/>
      </w:pPr>
      <w:rPr>
        <w:rFonts w:ascii="Wingdings" w:hAnsi="Wingdings" w:hint="default"/>
      </w:rPr>
    </w:lvl>
    <w:lvl w:ilvl="6" w:tplc="04150001" w:tentative="1">
      <w:start w:val="1"/>
      <w:numFmt w:val="bullet"/>
      <w:lvlText w:val=""/>
      <w:lvlJc w:val="left"/>
      <w:pPr>
        <w:ind w:left="5356" w:hanging="360"/>
      </w:pPr>
      <w:rPr>
        <w:rFonts w:ascii="Symbol" w:hAnsi="Symbol" w:hint="default"/>
      </w:rPr>
    </w:lvl>
    <w:lvl w:ilvl="7" w:tplc="04150003" w:tentative="1">
      <w:start w:val="1"/>
      <w:numFmt w:val="bullet"/>
      <w:lvlText w:val="o"/>
      <w:lvlJc w:val="left"/>
      <w:pPr>
        <w:ind w:left="6076" w:hanging="360"/>
      </w:pPr>
      <w:rPr>
        <w:rFonts w:ascii="Courier New" w:hAnsi="Courier New" w:cs="Courier New" w:hint="default"/>
      </w:rPr>
    </w:lvl>
    <w:lvl w:ilvl="8" w:tplc="04150005" w:tentative="1">
      <w:start w:val="1"/>
      <w:numFmt w:val="bullet"/>
      <w:lvlText w:val=""/>
      <w:lvlJc w:val="left"/>
      <w:pPr>
        <w:ind w:left="6796" w:hanging="360"/>
      </w:pPr>
      <w:rPr>
        <w:rFonts w:ascii="Wingdings" w:hAnsi="Wingdings" w:hint="default"/>
      </w:rPr>
    </w:lvl>
  </w:abstractNum>
  <w:abstractNum w:abstractNumId="24" w15:restartNumberingAfterBreak="0">
    <w:nsid w:val="5E4835A0"/>
    <w:multiLevelType w:val="multilevel"/>
    <w:tmpl w:val="0B4E20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1C75ED"/>
    <w:multiLevelType w:val="hybridMultilevel"/>
    <w:tmpl w:val="3258B7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2F6F00"/>
    <w:multiLevelType w:val="hybridMultilevel"/>
    <w:tmpl w:val="4FE4375C"/>
    <w:lvl w:ilvl="0" w:tplc="A42240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F0601D"/>
    <w:multiLevelType w:val="hybridMultilevel"/>
    <w:tmpl w:val="9FDC51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874026"/>
    <w:multiLevelType w:val="multilevel"/>
    <w:tmpl w:val="C47A04F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6FFB3FA2"/>
    <w:multiLevelType w:val="hybridMultilevel"/>
    <w:tmpl w:val="46EADFEE"/>
    <w:lvl w:ilvl="0" w:tplc="4BCE9430">
      <w:start w:val="1"/>
      <w:numFmt w:val="decimal"/>
      <w:lvlText w:val="%1)"/>
      <w:lvlJc w:val="left"/>
      <w:pPr>
        <w:ind w:left="720" w:hanging="360"/>
      </w:pPr>
      <w:rPr>
        <w:rFonts w:ascii="Arial" w:eastAsia="Calibri"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73B51A7"/>
    <w:multiLevelType w:val="hybridMultilevel"/>
    <w:tmpl w:val="D26AE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0C16BE"/>
    <w:multiLevelType w:val="hybridMultilevel"/>
    <w:tmpl w:val="65606F08"/>
    <w:lvl w:ilvl="0" w:tplc="0BB4777C">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16cid:durableId="384374701">
    <w:abstractNumId w:val="16"/>
  </w:num>
  <w:num w:numId="2" w16cid:durableId="1376270828">
    <w:abstractNumId w:val="11"/>
  </w:num>
  <w:num w:numId="3" w16cid:durableId="1018313621">
    <w:abstractNumId w:val="4"/>
  </w:num>
  <w:num w:numId="4" w16cid:durableId="945577230">
    <w:abstractNumId w:val="23"/>
  </w:num>
  <w:num w:numId="5" w16cid:durableId="1049961590">
    <w:abstractNumId w:val="12"/>
  </w:num>
  <w:num w:numId="6" w16cid:durableId="992025218">
    <w:abstractNumId w:val="30"/>
  </w:num>
  <w:num w:numId="7" w16cid:durableId="534587690">
    <w:abstractNumId w:val="9"/>
  </w:num>
  <w:num w:numId="8" w16cid:durableId="1483037093">
    <w:abstractNumId w:val="27"/>
  </w:num>
  <w:num w:numId="9" w16cid:durableId="2106533166">
    <w:abstractNumId w:val="6"/>
  </w:num>
  <w:num w:numId="10" w16cid:durableId="35534746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1" w16cid:durableId="872108855">
    <w:abstractNumId w:val="18"/>
  </w:num>
  <w:num w:numId="12" w16cid:durableId="1656955914">
    <w:abstractNumId w:val="10"/>
  </w:num>
  <w:num w:numId="13" w16cid:durableId="962156457">
    <w:abstractNumId w:val="20"/>
  </w:num>
  <w:num w:numId="14" w16cid:durableId="549415896">
    <w:abstractNumId w:val="24"/>
  </w:num>
  <w:num w:numId="15" w16cid:durableId="627904770">
    <w:abstractNumId w:val="14"/>
  </w:num>
  <w:num w:numId="16" w16cid:durableId="819806335">
    <w:abstractNumId w:val="15"/>
  </w:num>
  <w:num w:numId="17" w16cid:durableId="976033987">
    <w:abstractNumId w:val="3"/>
  </w:num>
  <w:num w:numId="18" w16cid:durableId="1708143352">
    <w:abstractNumId w:val="19"/>
  </w:num>
  <w:num w:numId="19" w16cid:durableId="472329933">
    <w:abstractNumId w:val="25"/>
  </w:num>
  <w:num w:numId="20" w16cid:durableId="353925141">
    <w:abstractNumId w:val="29"/>
  </w:num>
  <w:num w:numId="21" w16cid:durableId="9743349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13607079">
    <w:abstractNumId w:val="5"/>
  </w:num>
  <w:num w:numId="23" w16cid:durableId="1835148472">
    <w:abstractNumId w:val="26"/>
  </w:num>
  <w:num w:numId="24" w16cid:durableId="1515342954">
    <w:abstractNumId w:val="17"/>
  </w:num>
  <w:num w:numId="25" w16cid:durableId="1541699379">
    <w:abstractNumId w:val="13"/>
  </w:num>
  <w:num w:numId="26" w16cid:durableId="652373920">
    <w:abstractNumId w:val="7"/>
  </w:num>
  <w:num w:numId="27" w16cid:durableId="1798571593">
    <w:abstractNumId w:val="31"/>
  </w:num>
  <w:num w:numId="28" w16cid:durableId="6562265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73493567">
    <w:abstractNumId w:val="28"/>
  </w:num>
  <w:num w:numId="30" w16cid:durableId="595795290">
    <w:abstractNumId w:val="22"/>
  </w:num>
  <w:num w:numId="31" w16cid:durableId="679283475">
    <w:abstractNumId w:val="8"/>
  </w:num>
  <w:num w:numId="32" w16cid:durableId="8720344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136"/>
    <w:rsid w:val="000015FD"/>
    <w:rsid w:val="000019F1"/>
    <w:rsid w:val="0000296B"/>
    <w:rsid w:val="00002A31"/>
    <w:rsid w:val="00002CA7"/>
    <w:rsid w:val="00002E17"/>
    <w:rsid w:val="000043AB"/>
    <w:rsid w:val="00006787"/>
    <w:rsid w:val="00006982"/>
    <w:rsid w:val="000069C4"/>
    <w:rsid w:val="000069F1"/>
    <w:rsid w:val="00006A8A"/>
    <w:rsid w:val="00010CCA"/>
    <w:rsid w:val="0001261F"/>
    <w:rsid w:val="00012F01"/>
    <w:rsid w:val="00012F3C"/>
    <w:rsid w:val="000153DD"/>
    <w:rsid w:val="00015865"/>
    <w:rsid w:val="00015A62"/>
    <w:rsid w:val="00015D64"/>
    <w:rsid w:val="0002183E"/>
    <w:rsid w:val="000221E3"/>
    <w:rsid w:val="00022D4E"/>
    <w:rsid w:val="00022DDA"/>
    <w:rsid w:val="0002340B"/>
    <w:rsid w:val="00023EBC"/>
    <w:rsid w:val="00024943"/>
    <w:rsid w:val="00024E32"/>
    <w:rsid w:val="00024E3E"/>
    <w:rsid w:val="00025279"/>
    <w:rsid w:val="00025288"/>
    <w:rsid w:val="00025622"/>
    <w:rsid w:val="0002645E"/>
    <w:rsid w:val="000276F6"/>
    <w:rsid w:val="00027D3A"/>
    <w:rsid w:val="00027F23"/>
    <w:rsid w:val="00031333"/>
    <w:rsid w:val="0003186A"/>
    <w:rsid w:val="000327B9"/>
    <w:rsid w:val="0003737C"/>
    <w:rsid w:val="00037FE3"/>
    <w:rsid w:val="00043658"/>
    <w:rsid w:val="0004645A"/>
    <w:rsid w:val="000465A7"/>
    <w:rsid w:val="000465B8"/>
    <w:rsid w:val="00046A2D"/>
    <w:rsid w:val="000472DA"/>
    <w:rsid w:val="000478E3"/>
    <w:rsid w:val="000502D3"/>
    <w:rsid w:val="00050C60"/>
    <w:rsid w:val="00051C30"/>
    <w:rsid w:val="00052EDC"/>
    <w:rsid w:val="000548C6"/>
    <w:rsid w:val="00060A36"/>
    <w:rsid w:val="0006370D"/>
    <w:rsid w:val="000637EF"/>
    <w:rsid w:val="00063F68"/>
    <w:rsid w:val="00064DFA"/>
    <w:rsid w:val="000656A7"/>
    <w:rsid w:val="000656D0"/>
    <w:rsid w:val="000661FA"/>
    <w:rsid w:val="00067872"/>
    <w:rsid w:val="00067F40"/>
    <w:rsid w:val="00072E90"/>
    <w:rsid w:val="00073487"/>
    <w:rsid w:val="00073DFA"/>
    <w:rsid w:val="00074BF2"/>
    <w:rsid w:val="000832B5"/>
    <w:rsid w:val="000851FB"/>
    <w:rsid w:val="000855FD"/>
    <w:rsid w:val="000863C8"/>
    <w:rsid w:val="0008776A"/>
    <w:rsid w:val="00091804"/>
    <w:rsid w:val="0009290A"/>
    <w:rsid w:val="000937AE"/>
    <w:rsid w:val="000938BE"/>
    <w:rsid w:val="000949D3"/>
    <w:rsid w:val="00096B2D"/>
    <w:rsid w:val="000971F1"/>
    <w:rsid w:val="00097CAD"/>
    <w:rsid w:val="00097E35"/>
    <w:rsid w:val="000A035F"/>
    <w:rsid w:val="000A130C"/>
    <w:rsid w:val="000A31A5"/>
    <w:rsid w:val="000A3C71"/>
    <w:rsid w:val="000A48CF"/>
    <w:rsid w:val="000A5F52"/>
    <w:rsid w:val="000A5F6D"/>
    <w:rsid w:val="000A69BA"/>
    <w:rsid w:val="000A79C7"/>
    <w:rsid w:val="000A7CFB"/>
    <w:rsid w:val="000B0531"/>
    <w:rsid w:val="000B0E55"/>
    <w:rsid w:val="000B1D05"/>
    <w:rsid w:val="000B2BDF"/>
    <w:rsid w:val="000B3E63"/>
    <w:rsid w:val="000B416F"/>
    <w:rsid w:val="000B4995"/>
    <w:rsid w:val="000B6726"/>
    <w:rsid w:val="000B6BC4"/>
    <w:rsid w:val="000B6F34"/>
    <w:rsid w:val="000B76C1"/>
    <w:rsid w:val="000C0DF8"/>
    <w:rsid w:val="000C43D5"/>
    <w:rsid w:val="000C4DE0"/>
    <w:rsid w:val="000C59A9"/>
    <w:rsid w:val="000C5AFE"/>
    <w:rsid w:val="000C62E8"/>
    <w:rsid w:val="000C6D31"/>
    <w:rsid w:val="000C6E36"/>
    <w:rsid w:val="000C718F"/>
    <w:rsid w:val="000C7E71"/>
    <w:rsid w:val="000D0DA6"/>
    <w:rsid w:val="000D1E23"/>
    <w:rsid w:val="000D1F3A"/>
    <w:rsid w:val="000D252D"/>
    <w:rsid w:val="000D2CDB"/>
    <w:rsid w:val="000D3B3F"/>
    <w:rsid w:val="000D48C4"/>
    <w:rsid w:val="000D5BB5"/>
    <w:rsid w:val="000D756F"/>
    <w:rsid w:val="000E10D8"/>
    <w:rsid w:val="000E135D"/>
    <w:rsid w:val="000E1A41"/>
    <w:rsid w:val="000E1AF1"/>
    <w:rsid w:val="000E432F"/>
    <w:rsid w:val="000E4393"/>
    <w:rsid w:val="000E4631"/>
    <w:rsid w:val="000E5C8A"/>
    <w:rsid w:val="000E763C"/>
    <w:rsid w:val="000E7724"/>
    <w:rsid w:val="000E7841"/>
    <w:rsid w:val="000F36F6"/>
    <w:rsid w:val="000F3916"/>
    <w:rsid w:val="000F3D84"/>
    <w:rsid w:val="000F4454"/>
    <w:rsid w:val="000F549A"/>
    <w:rsid w:val="000F5518"/>
    <w:rsid w:val="000F5644"/>
    <w:rsid w:val="000F5A52"/>
    <w:rsid w:val="000F6E8C"/>
    <w:rsid w:val="000F7BD7"/>
    <w:rsid w:val="00100586"/>
    <w:rsid w:val="00100958"/>
    <w:rsid w:val="00101578"/>
    <w:rsid w:val="00102117"/>
    <w:rsid w:val="00102CAB"/>
    <w:rsid w:val="0010674B"/>
    <w:rsid w:val="00106D26"/>
    <w:rsid w:val="00107772"/>
    <w:rsid w:val="00107E63"/>
    <w:rsid w:val="00110940"/>
    <w:rsid w:val="00111078"/>
    <w:rsid w:val="00111ED9"/>
    <w:rsid w:val="00112AE9"/>
    <w:rsid w:val="00112EE3"/>
    <w:rsid w:val="00113123"/>
    <w:rsid w:val="00115814"/>
    <w:rsid w:val="00116269"/>
    <w:rsid w:val="00117084"/>
    <w:rsid w:val="0012059F"/>
    <w:rsid w:val="0012282B"/>
    <w:rsid w:val="00123A84"/>
    <w:rsid w:val="00123C80"/>
    <w:rsid w:val="0012511B"/>
    <w:rsid w:val="00125786"/>
    <w:rsid w:val="00125A67"/>
    <w:rsid w:val="00126D20"/>
    <w:rsid w:val="0012721B"/>
    <w:rsid w:val="00130ECC"/>
    <w:rsid w:val="001314D5"/>
    <w:rsid w:val="001315FA"/>
    <w:rsid w:val="0013160E"/>
    <w:rsid w:val="00132599"/>
    <w:rsid w:val="001338DB"/>
    <w:rsid w:val="00134A12"/>
    <w:rsid w:val="00134DBF"/>
    <w:rsid w:val="00135B0B"/>
    <w:rsid w:val="00135C13"/>
    <w:rsid w:val="00135D2E"/>
    <w:rsid w:val="00136BBD"/>
    <w:rsid w:val="00140238"/>
    <w:rsid w:val="0014060A"/>
    <w:rsid w:val="00141AA7"/>
    <w:rsid w:val="00141B6E"/>
    <w:rsid w:val="00142F3F"/>
    <w:rsid w:val="00143596"/>
    <w:rsid w:val="00143ADA"/>
    <w:rsid w:val="00144E74"/>
    <w:rsid w:val="00145FE6"/>
    <w:rsid w:val="001462AE"/>
    <w:rsid w:val="0014682E"/>
    <w:rsid w:val="00146C0B"/>
    <w:rsid w:val="001505A0"/>
    <w:rsid w:val="001512BC"/>
    <w:rsid w:val="00151E6F"/>
    <w:rsid w:val="001524B9"/>
    <w:rsid w:val="00152F27"/>
    <w:rsid w:val="0015646C"/>
    <w:rsid w:val="001574A6"/>
    <w:rsid w:val="00157777"/>
    <w:rsid w:val="00157BBE"/>
    <w:rsid w:val="00157D67"/>
    <w:rsid w:val="001609A2"/>
    <w:rsid w:val="001609E9"/>
    <w:rsid w:val="00161B6A"/>
    <w:rsid w:val="00162142"/>
    <w:rsid w:val="00165033"/>
    <w:rsid w:val="00165CD4"/>
    <w:rsid w:val="00166A65"/>
    <w:rsid w:val="001678E3"/>
    <w:rsid w:val="00171D63"/>
    <w:rsid w:val="0017425C"/>
    <w:rsid w:val="0017446B"/>
    <w:rsid w:val="00175975"/>
    <w:rsid w:val="001801FB"/>
    <w:rsid w:val="001805E4"/>
    <w:rsid w:val="00181136"/>
    <w:rsid w:val="001818AE"/>
    <w:rsid w:val="00181A19"/>
    <w:rsid w:val="00181D67"/>
    <w:rsid w:val="00182265"/>
    <w:rsid w:val="00182B88"/>
    <w:rsid w:val="001848C6"/>
    <w:rsid w:val="00187C0D"/>
    <w:rsid w:val="00187C47"/>
    <w:rsid w:val="00190E2D"/>
    <w:rsid w:val="001910D4"/>
    <w:rsid w:val="00193E2E"/>
    <w:rsid w:val="00194592"/>
    <w:rsid w:val="00194A5A"/>
    <w:rsid w:val="00194C12"/>
    <w:rsid w:val="00194C20"/>
    <w:rsid w:val="0019532C"/>
    <w:rsid w:val="00196B88"/>
    <w:rsid w:val="00197061"/>
    <w:rsid w:val="001A0CEE"/>
    <w:rsid w:val="001A30A9"/>
    <w:rsid w:val="001A466C"/>
    <w:rsid w:val="001A4EB1"/>
    <w:rsid w:val="001A762A"/>
    <w:rsid w:val="001B03AB"/>
    <w:rsid w:val="001B0753"/>
    <w:rsid w:val="001B0DE6"/>
    <w:rsid w:val="001B12AC"/>
    <w:rsid w:val="001B3B73"/>
    <w:rsid w:val="001B5ABC"/>
    <w:rsid w:val="001B6C0D"/>
    <w:rsid w:val="001B7799"/>
    <w:rsid w:val="001B7C96"/>
    <w:rsid w:val="001C20A1"/>
    <w:rsid w:val="001C2813"/>
    <w:rsid w:val="001C2AA1"/>
    <w:rsid w:val="001C2C50"/>
    <w:rsid w:val="001C3B57"/>
    <w:rsid w:val="001C4F19"/>
    <w:rsid w:val="001C599C"/>
    <w:rsid w:val="001C7183"/>
    <w:rsid w:val="001C7AB6"/>
    <w:rsid w:val="001D0639"/>
    <w:rsid w:val="001D0FCE"/>
    <w:rsid w:val="001D2C81"/>
    <w:rsid w:val="001D3854"/>
    <w:rsid w:val="001D44BD"/>
    <w:rsid w:val="001D4968"/>
    <w:rsid w:val="001D54CB"/>
    <w:rsid w:val="001D6ADB"/>
    <w:rsid w:val="001D707E"/>
    <w:rsid w:val="001D719B"/>
    <w:rsid w:val="001D74A9"/>
    <w:rsid w:val="001D7B17"/>
    <w:rsid w:val="001E063D"/>
    <w:rsid w:val="001E11D4"/>
    <w:rsid w:val="001E132F"/>
    <w:rsid w:val="001E3AAA"/>
    <w:rsid w:val="001E3DFD"/>
    <w:rsid w:val="001E42ED"/>
    <w:rsid w:val="001E4715"/>
    <w:rsid w:val="001F1110"/>
    <w:rsid w:val="001F4B12"/>
    <w:rsid w:val="001F5731"/>
    <w:rsid w:val="001F681B"/>
    <w:rsid w:val="001F6FBD"/>
    <w:rsid w:val="001F77C3"/>
    <w:rsid w:val="00201D15"/>
    <w:rsid w:val="002031AD"/>
    <w:rsid w:val="00203CE4"/>
    <w:rsid w:val="00204366"/>
    <w:rsid w:val="00204995"/>
    <w:rsid w:val="00204F55"/>
    <w:rsid w:val="0020559C"/>
    <w:rsid w:val="002073A9"/>
    <w:rsid w:val="00207E91"/>
    <w:rsid w:val="00210B38"/>
    <w:rsid w:val="00210F8E"/>
    <w:rsid w:val="002146C0"/>
    <w:rsid w:val="00214E41"/>
    <w:rsid w:val="00215985"/>
    <w:rsid w:val="002159FC"/>
    <w:rsid w:val="0021777E"/>
    <w:rsid w:val="00220C68"/>
    <w:rsid w:val="00221A02"/>
    <w:rsid w:val="002221ED"/>
    <w:rsid w:val="00222B05"/>
    <w:rsid w:val="00225222"/>
    <w:rsid w:val="00226181"/>
    <w:rsid w:val="00230070"/>
    <w:rsid w:val="00232E5C"/>
    <w:rsid w:val="00233382"/>
    <w:rsid w:val="002363C3"/>
    <w:rsid w:val="002365A0"/>
    <w:rsid w:val="00236610"/>
    <w:rsid w:val="0023744B"/>
    <w:rsid w:val="00240DBA"/>
    <w:rsid w:val="002418E2"/>
    <w:rsid w:val="002420D9"/>
    <w:rsid w:val="002463E5"/>
    <w:rsid w:val="002467D7"/>
    <w:rsid w:val="00247425"/>
    <w:rsid w:val="00247E82"/>
    <w:rsid w:val="00250795"/>
    <w:rsid w:val="0025079B"/>
    <w:rsid w:val="00252527"/>
    <w:rsid w:val="00252765"/>
    <w:rsid w:val="002529FC"/>
    <w:rsid w:val="00252B94"/>
    <w:rsid w:val="0025359F"/>
    <w:rsid w:val="002541AE"/>
    <w:rsid w:val="00255CB3"/>
    <w:rsid w:val="00257822"/>
    <w:rsid w:val="00257CAF"/>
    <w:rsid w:val="00260580"/>
    <w:rsid w:val="0026128B"/>
    <w:rsid w:val="0026139B"/>
    <w:rsid w:val="00261426"/>
    <w:rsid w:val="002614C0"/>
    <w:rsid w:val="00262163"/>
    <w:rsid w:val="00267FB8"/>
    <w:rsid w:val="00270180"/>
    <w:rsid w:val="00270A8A"/>
    <w:rsid w:val="00271B88"/>
    <w:rsid w:val="0027210A"/>
    <w:rsid w:val="00277154"/>
    <w:rsid w:val="0027764D"/>
    <w:rsid w:val="002777A9"/>
    <w:rsid w:val="00277EDD"/>
    <w:rsid w:val="002803C4"/>
    <w:rsid w:val="00281348"/>
    <w:rsid w:val="00281F67"/>
    <w:rsid w:val="00282ABA"/>
    <w:rsid w:val="00283F22"/>
    <w:rsid w:val="002843AF"/>
    <w:rsid w:val="00285F0D"/>
    <w:rsid w:val="0028776C"/>
    <w:rsid w:val="0028796E"/>
    <w:rsid w:val="002905E7"/>
    <w:rsid w:val="00291372"/>
    <w:rsid w:val="00293E50"/>
    <w:rsid w:val="00293EE7"/>
    <w:rsid w:val="002952E6"/>
    <w:rsid w:val="00296475"/>
    <w:rsid w:val="002967E4"/>
    <w:rsid w:val="0029756F"/>
    <w:rsid w:val="002975CD"/>
    <w:rsid w:val="00297F65"/>
    <w:rsid w:val="002A0030"/>
    <w:rsid w:val="002A2418"/>
    <w:rsid w:val="002A2D9D"/>
    <w:rsid w:val="002A2EB0"/>
    <w:rsid w:val="002A3522"/>
    <w:rsid w:val="002A4A73"/>
    <w:rsid w:val="002A4B43"/>
    <w:rsid w:val="002A4CC1"/>
    <w:rsid w:val="002A6068"/>
    <w:rsid w:val="002A61CD"/>
    <w:rsid w:val="002B093E"/>
    <w:rsid w:val="002B0BEB"/>
    <w:rsid w:val="002B1D50"/>
    <w:rsid w:val="002B1FB9"/>
    <w:rsid w:val="002B2FBA"/>
    <w:rsid w:val="002B33A4"/>
    <w:rsid w:val="002B367B"/>
    <w:rsid w:val="002B5BC3"/>
    <w:rsid w:val="002B5EB1"/>
    <w:rsid w:val="002C02DE"/>
    <w:rsid w:val="002C0751"/>
    <w:rsid w:val="002C08EA"/>
    <w:rsid w:val="002C0A4A"/>
    <w:rsid w:val="002C4187"/>
    <w:rsid w:val="002C4B2B"/>
    <w:rsid w:val="002C4D5C"/>
    <w:rsid w:val="002C4E45"/>
    <w:rsid w:val="002C533D"/>
    <w:rsid w:val="002C6695"/>
    <w:rsid w:val="002C672A"/>
    <w:rsid w:val="002C6E4A"/>
    <w:rsid w:val="002C72D0"/>
    <w:rsid w:val="002D2671"/>
    <w:rsid w:val="002D4E4C"/>
    <w:rsid w:val="002D4F5F"/>
    <w:rsid w:val="002E0346"/>
    <w:rsid w:val="002E03BD"/>
    <w:rsid w:val="002E061F"/>
    <w:rsid w:val="002E0CD0"/>
    <w:rsid w:val="002E1149"/>
    <w:rsid w:val="002E1DC1"/>
    <w:rsid w:val="002E1E8E"/>
    <w:rsid w:val="002E5ECC"/>
    <w:rsid w:val="002E66D8"/>
    <w:rsid w:val="002F07FF"/>
    <w:rsid w:val="002F2003"/>
    <w:rsid w:val="002F20D9"/>
    <w:rsid w:val="002F2706"/>
    <w:rsid w:val="002F3E30"/>
    <w:rsid w:val="002F4E8B"/>
    <w:rsid w:val="002F5815"/>
    <w:rsid w:val="002F69F2"/>
    <w:rsid w:val="002F6F00"/>
    <w:rsid w:val="002F70E4"/>
    <w:rsid w:val="002F79E8"/>
    <w:rsid w:val="003001CF"/>
    <w:rsid w:val="00301ACD"/>
    <w:rsid w:val="00302839"/>
    <w:rsid w:val="0030361B"/>
    <w:rsid w:val="00306A3B"/>
    <w:rsid w:val="0031136A"/>
    <w:rsid w:val="0031184F"/>
    <w:rsid w:val="00311D2B"/>
    <w:rsid w:val="00313878"/>
    <w:rsid w:val="00313A23"/>
    <w:rsid w:val="00313B4F"/>
    <w:rsid w:val="00313C4C"/>
    <w:rsid w:val="00313E7C"/>
    <w:rsid w:val="003147B7"/>
    <w:rsid w:val="00315631"/>
    <w:rsid w:val="00316059"/>
    <w:rsid w:val="00321113"/>
    <w:rsid w:val="00321460"/>
    <w:rsid w:val="00321942"/>
    <w:rsid w:val="00321FEC"/>
    <w:rsid w:val="003247E9"/>
    <w:rsid w:val="00325E08"/>
    <w:rsid w:val="0032617A"/>
    <w:rsid w:val="0033054F"/>
    <w:rsid w:val="003317AD"/>
    <w:rsid w:val="00331BF6"/>
    <w:rsid w:val="00334481"/>
    <w:rsid w:val="00335E96"/>
    <w:rsid w:val="003375FD"/>
    <w:rsid w:val="003376D7"/>
    <w:rsid w:val="00337731"/>
    <w:rsid w:val="003415AF"/>
    <w:rsid w:val="003416D3"/>
    <w:rsid w:val="00341F6A"/>
    <w:rsid w:val="003447D2"/>
    <w:rsid w:val="00344EA6"/>
    <w:rsid w:val="00347B7F"/>
    <w:rsid w:val="00352F47"/>
    <w:rsid w:val="00354677"/>
    <w:rsid w:val="00354DDF"/>
    <w:rsid w:val="00355C96"/>
    <w:rsid w:val="003628E6"/>
    <w:rsid w:val="00363362"/>
    <w:rsid w:val="0036381D"/>
    <w:rsid w:val="003651A2"/>
    <w:rsid w:val="00365421"/>
    <w:rsid w:val="00365E1E"/>
    <w:rsid w:val="003679E3"/>
    <w:rsid w:val="003713B8"/>
    <w:rsid w:val="00372226"/>
    <w:rsid w:val="00372345"/>
    <w:rsid w:val="00372592"/>
    <w:rsid w:val="003737EC"/>
    <w:rsid w:val="003742B3"/>
    <w:rsid w:val="0037461E"/>
    <w:rsid w:val="00375630"/>
    <w:rsid w:val="00375B4C"/>
    <w:rsid w:val="00376664"/>
    <w:rsid w:val="00376A5A"/>
    <w:rsid w:val="003775AF"/>
    <w:rsid w:val="003807ED"/>
    <w:rsid w:val="00380B92"/>
    <w:rsid w:val="0038358F"/>
    <w:rsid w:val="0038365F"/>
    <w:rsid w:val="00383E04"/>
    <w:rsid w:val="00383E4C"/>
    <w:rsid w:val="003867B8"/>
    <w:rsid w:val="00387654"/>
    <w:rsid w:val="00390814"/>
    <w:rsid w:val="00390A52"/>
    <w:rsid w:val="0039129D"/>
    <w:rsid w:val="00392F0E"/>
    <w:rsid w:val="0039467A"/>
    <w:rsid w:val="00395770"/>
    <w:rsid w:val="003A0F07"/>
    <w:rsid w:val="003A158D"/>
    <w:rsid w:val="003A1E9C"/>
    <w:rsid w:val="003A4D15"/>
    <w:rsid w:val="003A4E2B"/>
    <w:rsid w:val="003A606D"/>
    <w:rsid w:val="003A6267"/>
    <w:rsid w:val="003A7CD0"/>
    <w:rsid w:val="003B00C4"/>
    <w:rsid w:val="003B1969"/>
    <w:rsid w:val="003B228D"/>
    <w:rsid w:val="003B3731"/>
    <w:rsid w:val="003B4894"/>
    <w:rsid w:val="003B5B6E"/>
    <w:rsid w:val="003B60FB"/>
    <w:rsid w:val="003B654D"/>
    <w:rsid w:val="003B7598"/>
    <w:rsid w:val="003B7998"/>
    <w:rsid w:val="003B7BEC"/>
    <w:rsid w:val="003C01E6"/>
    <w:rsid w:val="003C0CE0"/>
    <w:rsid w:val="003C1774"/>
    <w:rsid w:val="003C1F2D"/>
    <w:rsid w:val="003C232E"/>
    <w:rsid w:val="003C304E"/>
    <w:rsid w:val="003C674A"/>
    <w:rsid w:val="003C6B13"/>
    <w:rsid w:val="003D2BE1"/>
    <w:rsid w:val="003D2C32"/>
    <w:rsid w:val="003D40F4"/>
    <w:rsid w:val="003D4197"/>
    <w:rsid w:val="003D6888"/>
    <w:rsid w:val="003D7287"/>
    <w:rsid w:val="003D7A73"/>
    <w:rsid w:val="003D7B12"/>
    <w:rsid w:val="003E1CCD"/>
    <w:rsid w:val="003E2A36"/>
    <w:rsid w:val="003E3CD0"/>
    <w:rsid w:val="003E5791"/>
    <w:rsid w:val="003E71E3"/>
    <w:rsid w:val="003F014A"/>
    <w:rsid w:val="003F06F8"/>
    <w:rsid w:val="003F2625"/>
    <w:rsid w:val="003F305D"/>
    <w:rsid w:val="003F3189"/>
    <w:rsid w:val="003F3DC9"/>
    <w:rsid w:val="003F469B"/>
    <w:rsid w:val="003F50DF"/>
    <w:rsid w:val="003F57A6"/>
    <w:rsid w:val="003F6019"/>
    <w:rsid w:val="003F75AA"/>
    <w:rsid w:val="004005C4"/>
    <w:rsid w:val="00401A37"/>
    <w:rsid w:val="004023BE"/>
    <w:rsid w:val="00402CC4"/>
    <w:rsid w:val="00402D14"/>
    <w:rsid w:val="00402F30"/>
    <w:rsid w:val="00403045"/>
    <w:rsid w:val="0040332D"/>
    <w:rsid w:val="00403D6F"/>
    <w:rsid w:val="00403E0B"/>
    <w:rsid w:val="00405BC3"/>
    <w:rsid w:val="0040624C"/>
    <w:rsid w:val="00406837"/>
    <w:rsid w:val="00406C5C"/>
    <w:rsid w:val="004071AF"/>
    <w:rsid w:val="00410DC9"/>
    <w:rsid w:val="00411B30"/>
    <w:rsid w:val="004128F7"/>
    <w:rsid w:val="00412B8D"/>
    <w:rsid w:val="00413512"/>
    <w:rsid w:val="00413DA3"/>
    <w:rsid w:val="00416D4C"/>
    <w:rsid w:val="00420305"/>
    <w:rsid w:val="00421DF3"/>
    <w:rsid w:val="00422DA4"/>
    <w:rsid w:val="0042320F"/>
    <w:rsid w:val="00423FD2"/>
    <w:rsid w:val="0042490A"/>
    <w:rsid w:val="00425654"/>
    <w:rsid w:val="00425DDD"/>
    <w:rsid w:val="0042649F"/>
    <w:rsid w:val="0042701B"/>
    <w:rsid w:val="00427BB5"/>
    <w:rsid w:val="004303D5"/>
    <w:rsid w:val="004312FA"/>
    <w:rsid w:val="0043181D"/>
    <w:rsid w:val="00432152"/>
    <w:rsid w:val="004321EA"/>
    <w:rsid w:val="004335E2"/>
    <w:rsid w:val="004342BD"/>
    <w:rsid w:val="004346DC"/>
    <w:rsid w:val="00434BEF"/>
    <w:rsid w:val="0043507B"/>
    <w:rsid w:val="00435C99"/>
    <w:rsid w:val="00436120"/>
    <w:rsid w:val="00436166"/>
    <w:rsid w:val="0043635E"/>
    <w:rsid w:val="004364B3"/>
    <w:rsid w:val="00437B92"/>
    <w:rsid w:val="00440D8C"/>
    <w:rsid w:val="004410B1"/>
    <w:rsid w:val="004415C6"/>
    <w:rsid w:val="00441A70"/>
    <w:rsid w:val="00441EC7"/>
    <w:rsid w:val="00442C7C"/>
    <w:rsid w:val="0044372E"/>
    <w:rsid w:val="00443AEA"/>
    <w:rsid w:val="004444CC"/>
    <w:rsid w:val="00446D0C"/>
    <w:rsid w:val="00447CD0"/>
    <w:rsid w:val="004504C7"/>
    <w:rsid w:val="00451CF6"/>
    <w:rsid w:val="00452C5B"/>
    <w:rsid w:val="00453307"/>
    <w:rsid w:val="00453873"/>
    <w:rsid w:val="004539DF"/>
    <w:rsid w:val="00453B92"/>
    <w:rsid w:val="0045412A"/>
    <w:rsid w:val="00457EEC"/>
    <w:rsid w:val="0046035F"/>
    <w:rsid w:val="004626BB"/>
    <w:rsid w:val="00463B0F"/>
    <w:rsid w:val="00464AB6"/>
    <w:rsid w:val="00465075"/>
    <w:rsid w:val="004655E9"/>
    <w:rsid w:val="00465A93"/>
    <w:rsid w:val="00466AB1"/>
    <w:rsid w:val="004707A9"/>
    <w:rsid w:val="00471ACD"/>
    <w:rsid w:val="00471B63"/>
    <w:rsid w:val="00473824"/>
    <w:rsid w:val="00474B33"/>
    <w:rsid w:val="00475070"/>
    <w:rsid w:val="00475854"/>
    <w:rsid w:val="004800F7"/>
    <w:rsid w:val="004823B6"/>
    <w:rsid w:val="004839C0"/>
    <w:rsid w:val="0048463C"/>
    <w:rsid w:val="00484C65"/>
    <w:rsid w:val="00484C6E"/>
    <w:rsid w:val="00485799"/>
    <w:rsid w:val="004858C2"/>
    <w:rsid w:val="00485924"/>
    <w:rsid w:val="0048614E"/>
    <w:rsid w:val="004872E3"/>
    <w:rsid w:val="004875B5"/>
    <w:rsid w:val="00487BAC"/>
    <w:rsid w:val="00490D92"/>
    <w:rsid w:val="00492004"/>
    <w:rsid w:val="00494AFA"/>
    <w:rsid w:val="00496D21"/>
    <w:rsid w:val="00496E6E"/>
    <w:rsid w:val="00497338"/>
    <w:rsid w:val="004A083B"/>
    <w:rsid w:val="004A2685"/>
    <w:rsid w:val="004A2AFC"/>
    <w:rsid w:val="004A3245"/>
    <w:rsid w:val="004A37C0"/>
    <w:rsid w:val="004A482F"/>
    <w:rsid w:val="004A6C6F"/>
    <w:rsid w:val="004A7345"/>
    <w:rsid w:val="004A78BB"/>
    <w:rsid w:val="004B1BB4"/>
    <w:rsid w:val="004B3129"/>
    <w:rsid w:val="004B4FF0"/>
    <w:rsid w:val="004B790A"/>
    <w:rsid w:val="004B7DB6"/>
    <w:rsid w:val="004C043D"/>
    <w:rsid w:val="004C086D"/>
    <w:rsid w:val="004C2B05"/>
    <w:rsid w:val="004C3C09"/>
    <w:rsid w:val="004C3DF8"/>
    <w:rsid w:val="004C49F0"/>
    <w:rsid w:val="004C6958"/>
    <w:rsid w:val="004D2D70"/>
    <w:rsid w:val="004D350D"/>
    <w:rsid w:val="004D588B"/>
    <w:rsid w:val="004E2BB5"/>
    <w:rsid w:val="004E5B4C"/>
    <w:rsid w:val="004E5B6B"/>
    <w:rsid w:val="004F03ED"/>
    <w:rsid w:val="004F1B1A"/>
    <w:rsid w:val="004F1D2F"/>
    <w:rsid w:val="004F2383"/>
    <w:rsid w:val="004F45F9"/>
    <w:rsid w:val="004F50FF"/>
    <w:rsid w:val="004F5B21"/>
    <w:rsid w:val="004F687E"/>
    <w:rsid w:val="004F710F"/>
    <w:rsid w:val="00500D3D"/>
    <w:rsid w:val="00500EC7"/>
    <w:rsid w:val="00501CEC"/>
    <w:rsid w:val="005029AF"/>
    <w:rsid w:val="00502B9B"/>
    <w:rsid w:val="00503195"/>
    <w:rsid w:val="00503DD5"/>
    <w:rsid w:val="005064F4"/>
    <w:rsid w:val="00506BA0"/>
    <w:rsid w:val="0051072A"/>
    <w:rsid w:val="00510FD5"/>
    <w:rsid w:val="0051169A"/>
    <w:rsid w:val="00512710"/>
    <w:rsid w:val="00513E6C"/>
    <w:rsid w:val="005161E4"/>
    <w:rsid w:val="00516950"/>
    <w:rsid w:val="005179EE"/>
    <w:rsid w:val="00523880"/>
    <w:rsid w:val="00523FA2"/>
    <w:rsid w:val="005247B5"/>
    <w:rsid w:val="005253AD"/>
    <w:rsid w:val="00525B69"/>
    <w:rsid w:val="005272F4"/>
    <w:rsid w:val="005274D2"/>
    <w:rsid w:val="005313DC"/>
    <w:rsid w:val="00532581"/>
    <w:rsid w:val="00536A20"/>
    <w:rsid w:val="00537460"/>
    <w:rsid w:val="0053786D"/>
    <w:rsid w:val="005401CB"/>
    <w:rsid w:val="00541312"/>
    <w:rsid w:val="00541FB9"/>
    <w:rsid w:val="005428B8"/>
    <w:rsid w:val="005439B8"/>
    <w:rsid w:val="00543AB3"/>
    <w:rsid w:val="005442AE"/>
    <w:rsid w:val="00545335"/>
    <w:rsid w:val="005463DD"/>
    <w:rsid w:val="0054677B"/>
    <w:rsid w:val="00546A66"/>
    <w:rsid w:val="0054728C"/>
    <w:rsid w:val="00547B36"/>
    <w:rsid w:val="00547CBE"/>
    <w:rsid w:val="00553873"/>
    <w:rsid w:val="0055442B"/>
    <w:rsid w:val="005545EF"/>
    <w:rsid w:val="00554EA0"/>
    <w:rsid w:val="0055615E"/>
    <w:rsid w:val="005571AB"/>
    <w:rsid w:val="00557426"/>
    <w:rsid w:val="00560698"/>
    <w:rsid w:val="00561027"/>
    <w:rsid w:val="005614FB"/>
    <w:rsid w:val="00562D4C"/>
    <w:rsid w:val="005633BA"/>
    <w:rsid w:val="00566249"/>
    <w:rsid w:val="005663D6"/>
    <w:rsid w:val="00566C8F"/>
    <w:rsid w:val="0056736F"/>
    <w:rsid w:val="0057012B"/>
    <w:rsid w:val="00572FC8"/>
    <w:rsid w:val="005739A3"/>
    <w:rsid w:val="00574E50"/>
    <w:rsid w:val="0057644F"/>
    <w:rsid w:val="0057780D"/>
    <w:rsid w:val="0058160E"/>
    <w:rsid w:val="00583701"/>
    <w:rsid w:val="00583955"/>
    <w:rsid w:val="005849F6"/>
    <w:rsid w:val="00584A89"/>
    <w:rsid w:val="00584C34"/>
    <w:rsid w:val="0058629A"/>
    <w:rsid w:val="00586DC7"/>
    <w:rsid w:val="005916E9"/>
    <w:rsid w:val="00592BAE"/>
    <w:rsid w:val="00592F6F"/>
    <w:rsid w:val="00593C48"/>
    <w:rsid w:val="0059480F"/>
    <w:rsid w:val="00595A13"/>
    <w:rsid w:val="005969E1"/>
    <w:rsid w:val="00597443"/>
    <w:rsid w:val="00597D30"/>
    <w:rsid w:val="005A11C7"/>
    <w:rsid w:val="005A304F"/>
    <w:rsid w:val="005A3676"/>
    <w:rsid w:val="005A3F9B"/>
    <w:rsid w:val="005A47B1"/>
    <w:rsid w:val="005A5D3F"/>
    <w:rsid w:val="005A73C8"/>
    <w:rsid w:val="005B1165"/>
    <w:rsid w:val="005B3A9C"/>
    <w:rsid w:val="005B486A"/>
    <w:rsid w:val="005B4902"/>
    <w:rsid w:val="005B4DCA"/>
    <w:rsid w:val="005B5552"/>
    <w:rsid w:val="005B635E"/>
    <w:rsid w:val="005B63DC"/>
    <w:rsid w:val="005B67C0"/>
    <w:rsid w:val="005B687C"/>
    <w:rsid w:val="005C03AD"/>
    <w:rsid w:val="005C08A1"/>
    <w:rsid w:val="005C14B9"/>
    <w:rsid w:val="005C2393"/>
    <w:rsid w:val="005C2DC2"/>
    <w:rsid w:val="005C2EE2"/>
    <w:rsid w:val="005C34AD"/>
    <w:rsid w:val="005C446B"/>
    <w:rsid w:val="005C47D6"/>
    <w:rsid w:val="005C5026"/>
    <w:rsid w:val="005C5182"/>
    <w:rsid w:val="005C5E5F"/>
    <w:rsid w:val="005C5E99"/>
    <w:rsid w:val="005C6528"/>
    <w:rsid w:val="005D0644"/>
    <w:rsid w:val="005D13BD"/>
    <w:rsid w:val="005D15A7"/>
    <w:rsid w:val="005D2A14"/>
    <w:rsid w:val="005D4689"/>
    <w:rsid w:val="005D4D6F"/>
    <w:rsid w:val="005D57C9"/>
    <w:rsid w:val="005D7261"/>
    <w:rsid w:val="005D75E0"/>
    <w:rsid w:val="005D7B0A"/>
    <w:rsid w:val="005E08E8"/>
    <w:rsid w:val="005E0C4A"/>
    <w:rsid w:val="005E0EA7"/>
    <w:rsid w:val="005E166A"/>
    <w:rsid w:val="005E4497"/>
    <w:rsid w:val="005E58DF"/>
    <w:rsid w:val="005E6814"/>
    <w:rsid w:val="005E69E1"/>
    <w:rsid w:val="005E7816"/>
    <w:rsid w:val="005F067A"/>
    <w:rsid w:val="005F1C5C"/>
    <w:rsid w:val="005F1DA3"/>
    <w:rsid w:val="005F21F9"/>
    <w:rsid w:val="005F3C06"/>
    <w:rsid w:val="005F6AC5"/>
    <w:rsid w:val="005F7487"/>
    <w:rsid w:val="00600631"/>
    <w:rsid w:val="00601D40"/>
    <w:rsid w:val="00601FDB"/>
    <w:rsid w:val="00603911"/>
    <w:rsid w:val="0060487C"/>
    <w:rsid w:val="00612004"/>
    <w:rsid w:val="006143C1"/>
    <w:rsid w:val="00615859"/>
    <w:rsid w:val="00616911"/>
    <w:rsid w:val="00616C94"/>
    <w:rsid w:val="0062041E"/>
    <w:rsid w:val="00620FC3"/>
    <w:rsid w:val="00622F3A"/>
    <w:rsid w:val="00623167"/>
    <w:rsid w:val="00624178"/>
    <w:rsid w:val="00627C6D"/>
    <w:rsid w:val="00630877"/>
    <w:rsid w:val="006309D7"/>
    <w:rsid w:val="00630E92"/>
    <w:rsid w:val="0063135E"/>
    <w:rsid w:val="00632278"/>
    <w:rsid w:val="00632EC6"/>
    <w:rsid w:val="006336DC"/>
    <w:rsid w:val="00633AEA"/>
    <w:rsid w:val="0063410B"/>
    <w:rsid w:val="0063543B"/>
    <w:rsid w:val="00636743"/>
    <w:rsid w:val="00637615"/>
    <w:rsid w:val="0064191E"/>
    <w:rsid w:val="00642A97"/>
    <w:rsid w:val="00643C44"/>
    <w:rsid w:val="00647B54"/>
    <w:rsid w:val="00650F54"/>
    <w:rsid w:val="006510FA"/>
    <w:rsid w:val="00651768"/>
    <w:rsid w:val="00651F89"/>
    <w:rsid w:val="006528F1"/>
    <w:rsid w:val="006535CE"/>
    <w:rsid w:val="00653E14"/>
    <w:rsid w:val="00654B23"/>
    <w:rsid w:val="00655002"/>
    <w:rsid w:val="00655CE6"/>
    <w:rsid w:val="00656077"/>
    <w:rsid w:val="006566D8"/>
    <w:rsid w:val="00657010"/>
    <w:rsid w:val="00657DB1"/>
    <w:rsid w:val="00660C29"/>
    <w:rsid w:val="006617AD"/>
    <w:rsid w:val="00661E0E"/>
    <w:rsid w:val="0066301E"/>
    <w:rsid w:val="0066338C"/>
    <w:rsid w:val="006638E2"/>
    <w:rsid w:val="00667597"/>
    <w:rsid w:val="0066782F"/>
    <w:rsid w:val="00672B45"/>
    <w:rsid w:val="00672F13"/>
    <w:rsid w:val="00673F87"/>
    <w:rsid w:val="006756E9"/>
    <w:rsid w:val="00675882"/>
    <w:rsid w:val="00675A0A"/>
    <w:rsid w:val="00677281"/>
    <w:rsid w:val="00680D54"/>
    <w:rsid w:val="00681B09"/>
    <w:rsid w:val="006822EA"/>
    <w:rsid w:val="00685274"/>
    <w:rsid w:val="00685324"/>
    <w:rsid w:val="00686801"/>
    <w:rsid w:val="00687023"/>
    <w:rsid w:val="00687D05"/>
    <w:rsid w:val="00687DF5"/>
    <w:rsid w:val="00690211"/>
    <w:rsid w:val="00693B55"/>
    <w:rsid w:val="00693DF6"/>
    <w:rsid w:val="006949A8"/>
    <w:rsid w:val="00695A3B"/>
    <w:rsid w:val="006964CC"/>
    <w:rsid w:val="00696AF9"/>
    <w:rsid w:val="00697596"/>
    <w:rsid w:val="00697A08"/>
    <w:rsid w:val="006A2492"/>
    <w:rsid w:val="006A2C03"/>
    <w:rsid w:val="006A348D"/>
    <w:rsid w:val="006A53FE"/>
    <w:rsid w:val="006A6FE8"/>
    <w:rsid w:val="006A7CD0"/>
    <w:rsid w:val="006B14E5"/>
    <w:rsid w:val="006B35E7"/>
    <w:rsid w:val="006B41E1"/>
    <w:rsid w:val="006B4D5A"/>
    <w:rsid w:val="006B5027"/>
    <w:rsid w:val="006B5949"/>
    <w:rsid w:val="006B64B0"/>
    <w:rsid w:val="006B6BC5"/>
    <w:rsid w:val="006B6F33"/>
    <w:rsid w:val="006C0302"/>
    <w:rsid w:val="006C0315"/>
    <w:rsid w:val="006C0CDB"/>
    <w:rsid w:val="006C0E61"/>
    <w:rsid w:val="006C0F65"/>
    <w:rsid w:val="006C3938"/>
    <w:rsid w:val="006C4E95"/>
    <w:rsid w:val="006C5D1F"/>
    <w:rsid w:val="006C778C"/>
    <w:rsid w:val="006C7DFD"/>
    <w:rsid w:val="006C7FD0"/>
    <w:rsid w:val="006D050C"/>
    <w:rsid w:val="006D0E5A"/>
    <w:rsid w:val="006D1E91"/>
    <w:rsid w:val="006D27E3"/>
    <w:rsid w:val="006D2C09"/>
    <w:rsid w:val="006D3452"/>
    <w:rsid w:val="006D3C8B"/>
    <w:rsid w:val="006D4089"/>
    <w:rsid w:val="006D4DAE"/>
    <w:rsid w:val="006D6635"/>
    <w:rsid w:val="006E009A"/>
    <w:rsid w:val="006E08C7"/>
    <w:rsid w:val="006E0C6B"/>
    <w:rsid w:val="006E2035"/>
    <w:rsid w:val="006E236B"/>
    <w:rsid w:val="006E317F"/>
    <w:rsid w:val="006E3203"/>
    <w:rsid w:val="006E46B8"/>
    <w:rsid w:val="006E5858"/>
    <w:rsid w:val="006E59B8"/>
    <w:rsid w:val="006E6BA8"/>
    <w:rsid w:val="006E71D7"/>
    <w:rsid w:val="006F1486"/>
    <w:rsid w:val="006F2FF5"/>
    <w:rsid w:val="006F39A5"/>
    <w:rsid w:val="006F3D66"/>
    <w:rsid w:val="006F4F9D"/>
    <w:rsid w:val="006F723F"/>
    <w:rsid w:val="006F794D"/>
    <w:rsid w:val="007007CF"/>
    <w:rsid w:val="00701B9F"/>
    <w:rsid w:val="00702BA6"/>
    <w:rsid w:val="00704381"/>
    <w:rsid w:val="00705569"/>
    <w:rsid w:val="00706723"/>
    <w:rsid w:val="007072D4"/>
    <w:rsid w:val="007075B1"/>
    <w:rsid w:val="00711809"/>
    <w:rsid w:val="00712EC5"/>
    <w:rsid w:val="00715A85"/>
    <w:rsid w:val="007160B4"/>
    <w:rsid w:val="007207E1"/>
    <w:rsid w:val="0072158D"/>
    <w:rsid w:val="00724ADF"/>
    <w:rsid w:val="00724DC0"/>
    <w:rsid w:val="00725777"/>
    <w:rsid w:val="00725D13"/>
    <w:rsid w:val="007260BF"/>
    <w:rsid w:val="00726250"/>
    <w:rsid w:val="0073078E"/>
    <w:rsid w:val="007313C0"/>
    <w:rsid w:val="00731EC6"/>
    <w:rsid w:val="007342E4"/>
    <w:rsid w:val="0073617E"/>
    <w:rsid w:val="00737B12"/>
    <w:rsid w:val="007401B9"/>
    <w:rsid w:val="00740793"/>
    <w:rsid w:val="00741278"/>
    <w:rsid w:val="00743A14"/>
    <w:rsid w:val="00744117"/>
    <w:rsid w:val="00744417"/>
    <w:rsid w:val="0074600E"/>
    <w:rsid w:val="00747C6C"/>
    <w:rsid w:val="0075067B"/>
    <w:rsid w:val="007507B5"/>
    <w:rsid w:val="00752DAC"/>
    <w:rsid w:val="00753942"/>
    <w:rsid w:val="0075519D"/>
    <w:rsid w:val="0075587E"/>
    <w:rsid w:val="00756651"/>
    <w:rsid w:val="00756B55"/>
    <w:rsid w:val="0075784F"/>
    <w:rsid w:val="0076051C"/>
    <w:rsid w:val="007607F8"/>
    <w:rsid w:val="00760CED"/>
    <w:rsid w:val="00761792"/>
    <w:rsid w:val="00761F33"/>
    <w:rsid w:val="007625E3"/>
    <w:rsid w:val="00762A41"/>
    <w:rsid w:val="007648BD"/>
    <w:rsid w:val="007667C4"/>
    <w:rsid w:val="007715C4"/>
    <w:rsid w:val="00771D18"/>
    <w:rsid w:val="007728CE"/>
    <w:rsid w:val="00773459"/>
    <w:rsid w:val="00774A80"/>
    <w:rsid w:val="007767D1"/>
    <w:rsid w:val="0077692D"/>
    <w:rsid w:val="00780097"/>
    <w:rsid w:val="00781699"/>
    <w:rsid w:val="00781CE1"/>
    <w:rsid w:val="00781ECA"/>
    <w:rsid w:val="0078317D"/>
    <w:rsid w:val="00783B7E"/>
    <w:rsid w:val="00786C38"/>
    <w:rsid w:val="007871CE"/>
    <w:rsid w:val="00791473"/>
    <w:rsid w:val="00791AE0"/>
    <w:rsid w:val="00792F4B"/>
    <w:rsid w:val="00794A97"/>
    <w:rsid w:val="00795C6A"/>
    <w:rsid w:val="00796987"/>
    <w:rsid w:val="007A1606"/>
    <w:rsid w:val="007A180F"/>
    <w:rsid w:val="007A19D9"/>
    <w:rsid w:val="007A1B67"/>
    <w:rsid w:val="007A2024"/>
    <w:rsid w:val="007A4522"/>
    <w:rsid w:val="007A4AC7"/>
    <w:rsid w:val="007B0607"/>
    <w:rsid w:val="007B21BC"/>
    <w:rsid w:val="007B374F"/>
    <w:rsid w:val="007B3C7A"/>
    <w:rsid w:val="007B6B03"/>
    <w:rsid w:val="007B776D"/>
    <w:rsid w:val="007B79E4"/>
    <w:rsid w:val="007C0921"/>
    <w:rsid w:val="007C0D4E"/>
    <w:rsid w:val="007C19B3"/>
    <w:rsid w:val="007C2246"/>
    <w:rsid w:val="007C229C"/>
    <w:rsid w:val="007C3359"/>
    <w:rsid w:val="007C33F3"/>
    <w:rsid w:val="007C5EA4"/>
    <w:rsid w:val="007C5F19"/>
    <w:rsid w:val="007C62B5"/>
    <w:rsid w:val="007C76E8"/>
    <w:rsid w:val="007C7F91"/>
    <w:rsid w:val="007D0393"/>
    <w:rsid w:val="007D1A79"/>
    <w:rsid w:val="007D4D19"/>
    <w:rsid w:val="007D5383"/>
    <w:rsid w:val="007D558D"/>
    <w:rsid w:val="007D727E"/>
    <w:rsid w:val="007E00BC"/>
    <w:rsid w:val="007E171A"/>
    <w:rsid w:val="007E3871"/>
    <w:rsid w:val="007E3CD4"/>
    <w:rsid w:val="007E4EB8"/>
    <w:rsid w:val="007E584C"/>
    <w:rsid w:val="007E7220"/>
    <w:rsid w:val="007F1C22"/>
    <w:rsid w:val="007F2E02"/>
    <w:rsid w:val="007F4B70"/>
    <w:rsid w:val="007F5ACB"/>
    <w:rsid w:val="007F6973"/>
    <w:rsid w:val="007F6A9A"/>
    <w:rsid w:val="007F7764"/>
    <w:rsid w:val="007F7812"/>
    <w:rsid w:val="007F7AA8"/>
    <w:rsid w:val="00800723"/>
    <w:rsid w:val="00803F48"/>
    <w:rsid w:val="00804384"/>
    <w:rsid w:val="0080487F"/>
    <w:rsid w:val="008055A4"/>
    <w:rsid w:val="00805A1E"/>
    <w:rsid w:val="0081057D"/>
    <w:rsid w:val="00811C7E"/>
    <w:rsid w:val="00812F71"/>
    <w:rsid w:val="008139F2"/>
    <w:rsid w:val="00814AE7"/>
    <w:rsid w:val="00815C71"/>
    <w:rsid w:val="00815FA1"/>
    <w:rsid w:val="00816D5A"/>
    <w:rsid w:val="008206A5"/>
    <w:rsid w:val="00820E96"/>
    <w:rsid w:val="00820FD9"/>
    <w:rsid w:val="00821525"/>
    <w:rsid w:val="00823B91"/>
    <w:rsid w:val="00824304"/>
    <w:rsid w:val="008266F2"/>
    <w:rsid w:val="00826873"/>
    <w:rsid w:val="00827F6A"/>
    <w:rsid w:val="00827FE7"/>
    <w:rsid w:val="00830E9F"/>
    <w:rsid w:val="00831489"/>
    <w:rsid w:val="008348CA"/>
    <w:rsid w:val="00836621"/>
    <w:rsid w:val="00836E21"/>
    <w:rsid w:val="00836EEE"/>
    <w:rsid w:val="00837A53"/>
    <w:rsid w:val="00840802"/>
    <w:rsid w:val="00840819"/>
    <w:rsid w:val="00841B2B"/>
    <w:rsid w:val="0084203D"/>
    <w:rsid w:val="00843021"/>
    <w:rsid w:val="00844F36"/>
    <w:rsid w:val="0084500E"/>
    <w:rsid w:val="00845C21"/>
    <w:rsid w:val="00845D08"/>
    <w:rsid w:val="00847BD5"/>
    <w:rsid w:val="00850438"/>
    <w:rsid w:val="00850B1C"/>
    <w:rsid w:val="00851CDC"/>
    <w:rsid w:val="00853671"/>
    <w:rsid w:val="00853E4E"/>
    <w:rsid w:val="0085414C"/>
    <w:rsid w:val="00854A3F"/>
    <w:rsid w:val="00854B86"/>
    <w:rsid w:val="00854BC7"/>
    <w:rsid w:val="00856680"/>
    <w:rsid w:val="008622BA"/>
    <w:rsid w:val="00864676"/>
    <w:rsid w:val="008648A8"/>
    <w:rsid w:val="00866652"/>
    <w:rsid w:val="00871879"/>
    <w:rsid w:val="00871ED4"/>
    <w:rsid w:val="00872BCF"/>
    <w:rsid w:val="008735CC"/>
    <w:rsid w:val="00875746"/>
    <w:rsid w:val="008763C7"/>
    <w:rsid w:val="0087662F"/>
    <w:rsid w:val="008769F1"/>
    <w:rsid w:val="00877553"/>
    <w:rsid w:val="00880F14"/>
    <w:rsid w:val="00881035"/>
    <w:rsid w:val="00881860"/>
    <w:rsid w:val="00882A0B"/>
    <w:rsid w:val="00883FC7"/>
    <w:rsid w:val="00884B77"/>
    <w:rsid w:val="00885100"/>
    <w:rsid w:val="0088525F"/>
    <w:rsid w:val="00886917"/>
    <w:rsid w:val="00887770"/>
    <w:rsid w:val="00890639"/>
    <w:rsid w:val="00890890"/>
    <w:rsid w:val="00890EE3"/>
    <w:rsid w:val="00896FA4"/>
    <w:rsid w:val="008A0885"/>
    <w:rsid w:val="008A11BF"/>
    <w:rsid w:val="008A305E"/>
    <w:rsid w:val="008A39D8"/>
    <w:rsid w:val="008A4C67"/>
    <w:rsid w:val="008A4E68"/>
    <w:rsid w:val="008A4F6E"/>
    <w:rsid w:val="008A5565"/>
    <w:rsid w:val="008A64EF"/>
    <w:rsid w:val="008B0AA5"/>
    <w:rsid w:val="008B0C9C"/>
    <w:rsid w:val="008B1B58"/>
    <w:rsid w:val="008B30D5"/>
    <w:rsid w:val="008B5CC4"/>
    <w:rsid w:val="008B6546"/>
    <w:rsid w:val="008B73C9"/>
    <w:rsid w:val="008B7D85"/>
    <w:rsid w:val="008C07B2"/>
    <w:rsid w:val="008C0CC5"/>
    <w:rsid w:val="008C1AF2"/>
    <w:rsid w:val="008C1FC7"/>
    <w:rsid w:val="008C20C7"/>
    <w:rsid w:val="008C280B"/>
    <w:rsid w:val="008C2BD7"/>
    <w:rsid w:val="008C3AE6"/>
    <w:rsid w:val="008C3F80"/>
    <w:rsid w:val="008C50F6"/>
    <w:rsid w:val="008C5D8E"/>
    <w:rsid w:val="008C5F05"/>
    <w:rsid w:val="008C72D9"/>
    <w:rsid w:val="008C73C6"/>
    <w:rsid w:val="008C752C"/>
    <w:rsid w:val="008C7FAE"/>
    <w:rsid w:val="008D0034"/>
    <w:rsid w:val="008D18A8"/>
    <w:rsid w:val="008D2353"/>
    <w:rsid w:val="008D25DD"/>
    <w:rsid w:val="008D3A5E"/>
    <w:rsid w:val="008D40C3"/>
    <w:rsid w:val="008D4756"/>
    <w:rsid w:val="008D583F"/>
    <w:rsid w:val="008E03A2"/>
    <w:rsid w:val="008E11FB"/>
    <w:rsid w:val="008E1F43"/>
    <w:rsid w:val="008E394F"/>
    <w:rsid w:val="008E48F6"/>
    <w:rsid w:val="008E4933"/>
    <w:rsid w:val="008E4D1D"/>
    <w:rsid w:val="008F222B"/>
    <w:rsid w:val="008F24AE"/>
    <w:rsid w:val="008F3AFC"/>
    <w:rsid w:val="008F3BA1"/>
    <w:rsid w:val="008F4235"/>
    <w:rsid w:val="008F4261"/>
    <w:rsid w:val="008F4973"/>
    <w:rsid w:val="008F519F"/>
    <w:rsid w:val="00900D1B"/>
    <w:rsid w:val="00901CBB"/>
    <w:rsid w:val="0090312B"/>
    <w:rsid w:val="009032E3"/>
    <w:rsid w:val="0090455B"/>
    <w:rsid w:val="00904641"/>
    <w:rsid w:val="00904D18"/>
    <w:rsid w:val="00905FD5"/>
    <w:rsid w:val="00906589"/>
    <w:rsid w:val="009068ED"/>
    <w:rsid w:val="00907B07"/>
    <w:rsid w:val="00907D19"/>
    <w:rsid w:val="0091387F"/>
    <w:rsid w:val="00914601"/>
    <w:rsid w:val="009156AA"/>
    <w:rsid w:val="00915A98"/>
    <w:rsid w:val="00916FA5"/>
    <w:rsid w:val="0092092F"/>
    <w:rsid w:val="00924F81"/>
    <w:rsid w:val="0093031E"/>
    <w:rsid w:val="00931052"/>
    <w:rsid w:val="00933A08"/>
    <w:rsid w:val="00934A54"/>
    <w:rsid w:val="00937C52"/>
    <w:rsid w:val="00941B18"/>
    <w:rsid w:val="00942DC3"/>
    <w:rsid w:val="00944D3A"/>
    <w:rsid w:val="00946448"/>
    <w:rsid w:val="00946AA1"/>
    <w:rsid w:val="0094749E"/>
    <w:rsid w:val="009502E9"/>
    <w:rsid w:val="00950C31"/>
    <w:rsid w:val="009515FA"/>
    <w:rsid w:val="00951CBE"/>
    <w:rsid w:val="0095326B"/>
    <w:rsid w:val="00953BF6"/>
    <w:rsid w:val="00953DA4"/>
    <w:rsid w:val="00954A54"/>
    <w:rsid w:val="00957D6C"/>
    <w:rsid w:val="00957F2D"/>
    <w:rsid w:val="00960350"/>
    <w:rsid w:val="00961BB4"/>
    <w:rsid w:val="00962673"/>
    <w:rsid w:val="009635D5"/>
    <w:rsid w:val="0096410B"/>
    <w:rsid w:val="009648EE"/>
    <w:rsid w:val="00965527"/>
    <w:rsid w:val="00965845"/>
    <w:rsid w:val="00966005"/>
    <w:rsid w:val="009668ED"/>
    <w:rsid w:val="00966E99"/>
    <w:rsid w:val="009677B1"/>
    <w:rsid w:val="0097079B"/>
    <w:rsid w:val="009715C2"/>
    <w:rsid w:val="00971BF8"/>
    <w:rsid w:val="00972142"/>
    <w:rsid w:val="0097279F"/>
    <w:rsid w:val="00972EED"/>
    <w:rsid w:val="00972F67"/>
    <w:rsid w:val="009741C9"/>
    <w:rsid w:val="00974B8A"/>
    <w:rsid w:val="00975B7F"/>
    <w:rsid w:val="00976F9A"/>
    <w:rsid w:val="00981484"/>
    <w:rsid w:val="0098183B"/>
    <w:rsid w:val="009828AF"/>
    <w:rsid w:val="00985350"/>
    <w:rsid w:val="00985751"/>
    <w:rsid w:val="009863CF"/>
    <w:rsid w:val="00986466"/>
    <w:rsid w:val="009867B5"/>
    <w:rsid w:val="0099234C"/>
    <w:rsid w:val="00993CE6"/>
    <w:rsid w:val="00997F80"/>
    <w:rsid w:val="009A0A39"/>
    <w:rsid w:val="009A0F5F"/>
    <w:rsid w:val="009A1521"/>
    <w:rsid w:val="009A2EFC"/>
    <w:rsid w:val="009A3485"/>
    <w:rsid w:val="009A38C2"/>
    <w:rsid w:val="009A40A9"/>
    <w:rsid w:val="009A44AD"/>
    <w:rsid w:val="009A4CBF"/>
    <w:rsid w:val="009A6BAC"/>
    <w:rsid w:val="009A6DAC"/>
    <w:rsid w:val="009B0E8C"/>
    <w:rsid w:val="009B7FED"/>
    <w:rsid w:val="009C104E"/>
    <w:rsid w:val="009C1344"/>
    <w:rsid w:val="009C232A"/>
    <w:rsid w:val="009C48F9"/>
    <w:rsid w:val="009C4E22"/>
    <w:rsid w:val="009C5D9B"/>
    <w:rsid w:val="009D03F8"/>
    <w:rsid w:val="009D2E92"/>
    <w:rsid w:val="009D32EE"/>
    <w:rsid w:val="009D371A"/>
    <w:rsid w:val="009D4FBE"/>
    <w:rsid w:val="009D527E"/>
    <w:rsid w:val="009D5603"/>
    <w:rsid w:val="009D6671"/>
    <w:rsid w:val="009D690F"/>
    <w:rsid w:val="009D7899"/>
    <w:rsid w:val="009D7E0C"/>
    <w:rsid w:val="009E0571"/>
    <w:rsid w:val="009E0E77"/>
    <w:rsid w:val="009E1815"/>
    <w:rsid w:val="009E1C75"/>
    <w:rsid w:val="009E1FB9"/>
    <w:rsid w:val="009E2DC2"/>
    <w:rsid w:val="009E41A7"/>
    <w:rsid w:val="009E4A52"/>
    <w:rsid w:val="009E70E6"/>
    <w:rsid w:val="009E7ABE"/>
    <w:rsid w:val="009F0745"/>
    <w:rsid w:val="009F082E"/>
    <w:rsid w:val="009F0D65"/>
    <w:rsid w:val="009F1755"/>
    <w:rsid w:val="009F1826"/>
    <w:rsid w:val="009F25D0"/>
    <w:rsid w:val="009F319F"/>
    <w:rsid w:val="009F4A05"/>
    <w:rsid w:val="009F66D7"/>
    <w:rsid w:val="009F6EE6"/>
    <w:rsid w:val="00A0070F"/>
    <w:rsid w:val="00A03084"/>
    <w:rsid w:val="00A0379E"/>
    <w:rsid w:val="00A04513"/>
    <w:rsid w:val="00A04726"/>
    <w:rsid w:val="00A0509B"/>
    <w:rsid w:val="00A061F2"/>
    <w:rsid w:val="00A062C9"/>
    <w:rsid w:val="00A0659F"/>
    <w:rsid w:val="00A06767"/>
    <w:rsid w:val="00A06BC1"/>
    <w:rsid w:val="00A07C16"/>
    <w:rsid w:val="00A07E17"/>
    <w:rsid w:val="00A125E9"/>
    <w:rsid w:val="00A12B77"/>
    <w:rsid w:val="00A12D37"/>
    <w:rsid w:val="00A141F8"/>
    <w:rsid w:val="00A14ECC"/>
    <w:rsid w:val="00A15504"/>
    <w:rsid w:val="00A15B54"/>
    <w:rsid w:val="00A169CF"/>
    <w:rsid w:val="00A2343E"/>
    <w:rsid w:val="00A235D9"/>
    <w:rsid w:val="00A2438A"/>
    <w:rsid w:val="00A265B9"/>
    <w:rsid w:val="00A32FB9"/>
    <w:rsid w:val="00A3481E"/>
    <w:rsid w:val="00A348C0"/>
    <w:rsid w:val="00A3511A"/>
    <w:rsid w:val="00A35763"/>
    <w:rsid w:val="00A357C2"/>
    <w:rsid w:val="00A3632D"/>
    <w:rsid w:val="00A3659B"/>
    <w:rsid w:val="00A3663A"/>
    <w:rsid w:val="00A37C9F"/>
    <w:rsid w:val="00A4028E"/>
    <w:rsid w:val="00A40C67"/>
    <w:rsid w:val="00A4185D"/>
    <w:rsid w:val="00A44359"/>
    <w:rsid w:val="00A44D12"/>
    <w:rsid w:val="00A4620D"/>
    <w:rsid w:val="00A51643"/>
    <w:rsid w:val="00A53BE9"/>
    <w:rsid w:val="00A547CD"/>
    <w:rsid w:val="00A5587D"/>
    <w:rsid w:val="00A56007"/>
    <w:rsid w:val="00A566D1"/>
    <w:rsid w:val="00A61098"/>
    <w:rsid w:val="00A62769"/>
    <w:rsid w:val="00A6333B"/>
    <w:rsid w:val="00A656A6"/>
    <w:rsid w:val="00A65A49"/>
    <w:rsid w:val="00A6748B"/>
    <w:rsid w:val="00A676CC"/>
    <w:rsid w:val="00A700AD"/>
    <w:rsid w:val="00A70A65"/>
    <w:rsid w:val="00A70C69"/>
    <w:rsid w:val="00A715A2"/>
    <w:rsid w:val="00A719DA"/>
    <w:rsid w:val="00A73273"/>
    <w:rsid w:val="00A73C49"/>
    <w:rsid w:val="00A74039"/>
    <w:rsid w:val="00A769AC"/>
    <w:rsid w:val="00A77169"/>
    <w:rsid w:val="00A80DAF"/>
    <w:rsid w:val="00A80F3D"/>
    <w:rsid w:val="00A81679"/>
    <w:rsid w:val="00A81D63"/>
    <w:rsid w:val="00A8430B"/>
    <w:rsid w:val="00A847B1"/>
    <w:rsid w:val="00A85390"/>
    <w:rsid w:val="00A87B21"/>
    <w:rsid w:val="00A87E84"/>
    <w:rsid w:val="00A87FC2"/>
    <w:rsid w:val="00A904C8"/>
    <w:rsid w:val="00A929D4"/>
    <w:rsid w:val="00A92E34"/>
    <w:rsid w:val="00A9389C"/>
    <w:rsid w:val="00A94A09"/>
    <w:rsid w:val="00A95652"/>
    <w:rsid w:val="00A969E4"/>
    <w:rsid w:val="00A96CD0"/>
    <w:rsid w:val="00A97669"/>
    <w:rsid w:val="00AA18BD"/>
    <w:rsid w:val="00AA265D"/>
    <w:rsid w:val="00AA3BCA"/>
    <w:rsid w:val="00AA3CD5"/>
    <w:rsid w:val="00AA5842"/>
    <w:rsid w:val="00AA5E2E"/>
    <w:rsid w:val="00AA7A06"/>
    <w:rsid w:val="00AB0FDC"/>
    <w:rsid w:val="00AB1070"/>
    <w:rsid w:val="00AB1B0A"/>
    <w:rsid w:val="00AB33AF"/>
    <w:rsid w:val="00AB3873"/>
    <w:rsid w:val="00AB3B18"/>
    <w:rsid w:val="00AB5215"/>
    <w:rsid w:val="00AB530A"/>
    <w:rsid w:val="00AB5361"/>
    <w:rsid w:val="00AB7086"/>
    <w:rsid w:val="00AB75CE"/>
    <w:rsid w:val="00AC016C"/>
    <w:rsid w:val="00AC0D59"/>
    <w:rsid w:val="00AC19CD"/>
    <w:rsid w:val="00AC1E51"/>
    <w:rsid w:val="00AC387E"/>
    <w:rsid w:val="00AC3B1C"/>
    <w:rsid w:val="00AC65D1"/>
    <w:rsid w:val="00AC6DA9"/>
    <w:rsid w:val="00AC7676"/>
    <w:rsid w:val="00AC7D4E"/>
    <w:rsid w:val="00AD200F"/>
    <w:rsid w:val="00AD2684"/>
    <w:rsid w:val="00AD2986"/>
    <w:rsid w:val="00AD4811"/>
    <w:rsid w:val="00AD58FE"/>
    <w:rsid w:val="00AD755E"/>
    <w:rsid w:val="00AE15DA"/>
    <w:rsid w:val="00AE2A24"/>
    <w:rsid w:val="00AE3687"/>
    <w:rsid w:val="00AE3833"/>
    <w:rsid w:val="00AE3982"/>
    <w:rsid w:val="00AE5921"/>
    <w:rsid w:val="00AF2301"/>
    <w:rsid w:val="00AF2319"/>
    <w:rsid w:val="00AF2573"/>
    <w:rsid w:val="00AF3626"/>
    <w:rsid w:val="00AF3F17"/>
    <w:rsid w:val="00AF423C"/>
    <w:rsid w:val="00AF4545"/>
    <w:rsid w:val="00AF4C48"/>
    <w:rsid w:val="00AF4CD6"/>
    <w:rsid w:val="00AF69C9"/>
    <w:rsid w:val="00AF6DE8"/>
    <w:rsid w:val="00B005E7"/>
    <w:rsid w:val="00B03C15"/>
    <w:rsid w:val="00B03FEA"/>
    <w:rsid w:val="00B04584"/>
    <w:rsid w:val="00B050C1"/>
    <w:rsid w:val="00B06BDB"/>
    <w:rsid w:val="00B07161"/>
    <w:rsid w:val="00B074DE"/>
    <w:rsid w:val="00B1002D"/>
    <w:rsid w:val="00B1016B"/>
    <w:rsid w:val="00B10420"/>
    <w:rsid w:val="00B1109D"/>
    <w:rsid w:val="00B1227B"/>
    <w:rsid w:val="00B128E7"/>
    <w:rsid w:val="00B12E89"/>
    <w:rsid w:val="00B13EEA"/>
    <w:rsid w:val="00B14646"/>
    <w:rsid w:val="00B16CA3"/>
    <w:rsid w:val="00B16FDD"/>
    <w:rsid w:val="00B1748B"/>
    <w:rsid w:val="00B22276"/>
    <w:rsid w:val="00B229FD"/>
    <w:rsid w:val="00B23317"/>
    <w:rsid w:val="00B27424"/>
    <w:rsid w:val="00B27997"/>
    <w:rsid w:val="00B27A6A"/>
    <w:rsid w:val="00B32EBB"/>
    <w:rsid w:val="00B33073"/>
    <w:rsid w:val="00B33A81"/>
    <w:rsid w:val="00B358A6"/>
    <w:rsid w:val="00B364B8"/>
    <w:rsid w:val="00B40263"/>
    <w:rsid w:val="00B41105"/>
    <w:rsid w:val="00B42C9D"/>
    <w:rsid w:val="00B43AB6"/>
    <w:rsid w:val="00B460CC"/>
    <w:rsid w:val="00B46906"/>
    <w:rsid w:val="00B5127C"/>
    <w:rsid w:val="00B54FDA"/>
    <w:rsid w:val="00B5755C"/>
    <w:rsid w:val="00B61C03"/>
    <w:rsid w:val="00B61D5B"/>
    <w:rsid w:val="00B62BBF"/>
    <w:rsid w:val="00B649A7"/>
    <w:rsid w:val="00B65E1C"/>
    <w:rsid w:val="00B65E7C"/>
    <w:rsid w:val="00B66814"/>
    <w:rsid w:val="00B66823"/>
    <w:rsid w:val="00B70544"/>
    <w:rsid w:val="00B70E31"/>
    <w:rsid w:val="00B73CF8"/>
    <w:rsid w:val="00B742B8"/>
    <w:rsid w:val="00B7508D"/>
    <w:rsid w:val="00B76D69"/>
    <w:rsid w:val="00B76FD7"/>
    <w:rsid w:val="00B773FF"/>
    <w:rsid w:val="00B805F8"/>
    <w:rsid w:val="00B80C8B"/>
    <w:rsid w:val="00B82B7B"/>
    <w:rsid w:val="00B83CD6"/>
    <w:rsid w:val="00B846DF"/>
    <w:rsid w:val="00B847C9"/>
    <w:rsid w:val="00B93AB1"/>
    <w:rsid w:val="00B94198"/>
    <w:rsid w:val="00B945D2"/>
    <w:rsid w:val="00B962BF"/>
    <w:rsid w:val="00B96F49"/>
    <w:rsid w:val="00BA0F93"/>
    <w:rsid w:val="00BA102E"/>
    <w:rsid w:val="00BA1997"/>
    <w:rsid w:val="00BA246D"/>
    <w:rsid w:val="00BA30B3"/>
    <w:rsid w:val="00BA33FF"/>
    <w:rsid w:val="00BA433B"/>
    <w:rsid w:val="00BA4A2E"/>
    <w:rsid w:val="00BA5F18"/>
    <w:rsid w:val="00BA705B"/>
    <w:rsid w:val="00BA74F9"/>
    <w:rsid w:val="00BB20F7"/>
    <w:rsid w:val="00BB2D4E"/>
    <w:rsid w:val="00BB36E2"/>
    <w:rsid w:val="00BB4D0D"/>
    <w:rsid w:val="00BB5021"/>
    <w:rsid w:val="00BB572A"/>
    <w:rsid w:val="00BB6406"/>
    <w:rsid w:val="00BB6410"/>
    <w:rsid w:val="00BC01DD"/>
    <w:rsid w:val="00BC2CE2"/>
    <w:rsid w:val="00BC4D8F"/>
    <w:rsid w:val="00BC54AE"/>
    <w:rsid w:val="00BC6C97"/>
    <w:rsid w:val="00BC77C6"/>
    <w:rsid w:val="00BC7CAF"/>
    <w:rsid w:val="00BD0292"/>
    <w:rsid w:val="00BD10F7"/>
    <w:rsid w:val="00BD15FB"/>
    <w:rsid w:val="00BD1941"/>
    <w:rsid w:val="00BD1DFD"/>
    <w:rsid w:val="00BD35D0"/>
    <w:rsid w:val="00BD48FB"/>
    <w:rsid w:val="00BD582B"/>
    <w:rsid w:val="00BD5DA4"/>
    <w:rsid w:val="00BD7887"/>
    <w:rsid w:val="00BE0635"/>
    <w:rsid w:val="00BE1F04"/>
    <w:rsid w:val="00BE23EE"/>
    <w:rsid w:val="00BE3D5B"/>
    <w:rsid w:val="00BE44E5"/>
    <w:rsid w:val="00BE459A"/>
    <w:rsid w:val="00BE6EDA"/>
    <w:rsid w:val="00BE7C60"/>
    <w:rsid w:val="00BF079A"/>
    <w:rsid w:val="00BF1AA0"/>
    <w:rsid w:val="00BF3BF8"/>
    <w:rsid w:val="00BF47CC"/>
    <w:rsid w:val="00BF4BFD"/>
    <w:rsid w:val="00BF5C5A"/>
    <w:rsid w:val="00BF6306"/>
    <w:rsid w:val="00BF6D9F"/>
    <w:rsid w:val="00BF6DF4"/>
    <w:rsid w:val="00C0134C"/>
    <w:rsid w:val="00C02CF2"/>
    <w:rsid w:val="00C02F61"/>
    <w:rsid w:val="00C044B3"/>
    <w:rsid w:val="00C05130"/>
    <w:rsid w:val="00C06136"/>
    <w:rsid w:val="00C06137"/>
    <w:rsid w:val="00C068A1"/>
    <w:rsid w:val="00C07011"/>
    <w:rsid w:val="00C0723A"/>
    <w:rsid w:val="00C07FBA"/>
    <w:rsid w:val="00C10C9E"/>
    <w:rsid w:val="00C12607"/>
    <w:rsid w:val="00C12658"/>
    <w:rsid w:val="00C12D23"/>
    <w:rsid w:val="00C12F03"/>
    <w:rsid w:val="00C1460A"/>
    <w:rsid w:val="00C1660A"/>
    <w:rsid w:val="00C16C37"/>
    <w:rsid w:val="00C17FE7"/>
    <w:rsid w:val="00C222B7"/>
    <w:rsid w:val="00C22B3B"/>
    <w:rsid w:val="00C22B52"/>
    <w:rsid w:val="00C239CB"/>
    <w:rsid w:val="00C24FB9"/>
    <w:rsid w:val="00C25DC2"/>
    <w:rsid w:val="00C3066C"/>
    <w:rsid w:val="00C32726"/>
    <w:rsid w:val="00C32742"/>
    <w:rsid w:val="00C32853"/>
    <w:rsid w:val="00C32E81"/>
    <w:rsid w:val="00C359B6"/>
    <w:rsid w:val="00C35AD7"/>
    <w:rsid w:val="00C4172C"/>
    <w:rsid w:val="00C43DC3"/>
    <w:rsid w:val="00C43F2C"/>
    <w:rsid w:val="00C454C9"/>
    <w:rsid w:val="00C45811"/>
    <w:rsid w:val="00C45A42"/>
    <w:rsid w:val="00C45C26"/>
    <w:rsid w:val="00C45C44"/>
    <w:rsid w:val="00C4636E"/>
    <w:rsid w:val="00C46483"/>
    <w:rsid w:val="00C51A39"/>
    <w:rsid w:val="00C51BF2"/>
    <w:rsid w:val="00C562C8"/>
    <w:rsid w:val="00C56CEA"/>
    <w:rsid w:val="00C57697"/>
    <w:rsid w:val="00C645F4"/>
    <w:rsid w:val="00C64F20"/>
    <w:rsid w:val="00C65A0D"/>
    <w:rsid w:val="00C72080"/>
    <w:rsid w:val="00C72DD2"/>
    <w:rsid w:val="00C7352F"/>
    <w:rsid w:val="00C743B2"/>
    <w:rsid w:val="00C74FC3"/>
    <w:rsid w:val="00C75406"/>
    <w:rsid w:val="00C7685D"/>
    <w:rsid w:val="00C76DFD"/>
    <w:rsid w:val="00C77F31"/>
    <w:rsid w:val="00C800A3"/>
    <w:rsid w:val="00C80A0E"/>
    <w:rsid w:val="00C8283A"/>
    <w:rsid w:val="00C83A24"/>
    <w:rsid w:val="00C84C78"/>
    <w:rsid w:val="00C84DF7"/>
    <w:rsid w:val="00C856ED"/>
    <w:rsid w:val="00C86258"/>
    <w:rsid w:val="00C90375"/>
    <w:rsid w:val="00C905D5"/>
    <w:rsid w:val="00C9092D"/>
    <w:rsid w:val="00C912DC"/>
    <w:rsid w:val="00C91E36"/>
    <w:rsid w:val="00C92758"/>
    <w:rsid w:val="00C936DE"/>
    <w:rsid w:val="00C93D32"/>
    <w:rsid w:val="00C94F1D"/>
    <w:rsid w:val="00C95481"/>
    <w:rsid w:val="00C9601C"/>
    <w:rsid w:val="00C964C4"/>
    <w:rsid w:val="00C971F2"/>
    <w:rsid w:val="00C972FD"/>
    <w:rsid w:val="00CA23DD"/>
    <w:rsid w:val="00CA3040"/>
    <w:rsid w:val="00CA3DB1"/>
    <w:rsid w:val="00CA3E72"/>
    <w:rsid w:val="00CA56E0"/>
    <w:rsid w:val="00CA5F1D"/>
    <w:rsid w:val="00CA70C8"/>
    <w:rsid w:val="00CA7E0B"/>
    <w:rsid w:val="00CB0B5A"/>
    <w:rsid w:val="00CB1490"/>
    <w:rsid w:val="00CB21B9"/>
    <w:rsid w:val="00CB5DC1"/>
    <w:rsid w:val="00CB6CDD"/>
    <w:rsid w:val="00CB71CB"/>
    <w:rsid w:val="00CB7D5E"/>
    <w:rsid w:val="00CC0640"/>
    <w:rsid w:val="00CC0C74"/>
    <w:rsid w:val="00CC0E07"/>
    <w:rsid w:val="00CC0ECB"/>
    <w:rsid w:val="00CC12E1"/>
    <w:rsid w:val="00CC15D9"/>
    <w:rsid w:val="00CC1AE5"/>
    <w:rsid w:val="00CC3746"/>
    <w:rsid w:val="00CC3D50"/>
    <w:rsid w:val="00CC4E19"/>
    <w:rsid w:val="00CC4F97"/>
    <w:rsid w:val="00CC5770"/>
    <w:rsid w:val="00CC616D"/>
    <w:rsid w:val="00CC68E1"/>
    <w:rsid w:val="00CC6DC7"/>
    <w:rsid w:val="00CC7EC2"/>
    <w:rsid w:val="00CD09FD"/>
    <w:rsid w:val="00CD136E"/>
    <w:rsid w:val="00CD1CAC"/>
    <w:rsid w:val="00CD21D9"/>
    <w:rsid w:val="00CD29B2"/>
    <w:rsid w:val="00CD3951"/>
    <w:rsid w:val="00CD3A60"/>
    <w:rsid w:val="00CD6130"/>
    <w:rsid w:val="00CD71AC"/>
    <w:rsid w:val="00CE0CE9"/>
    <w:rsid w:val="00CE1925"/>
    <w:rsid w:val="00CE3E6F"/>
    <w:rsid w:val="00CE4861"/>
    <w:rsid w:val="00CE48C7"/>
    <w:rsid w:val="00CE5D9B"/>
    <w:rsid w:val="00CE5FE5"/>
    <w:rsid w:val="00CE61C8"/>
    <w:rsid w:val="00CF0E9B"/>
    <w:rsid w:val="00CF4C2A"/>
    <w:rsid w:val="00CF4EA7"/>
    <w:rsid w:val="00CF5970"/>
    <w:rsid w:val="00CF718C"/>
    <w:rsid w:val="00D00876"/>
    <w:rsid w:val="00D00EDE"/>
    <w:rsid w:val="00D01E8F"/>
    <w:rsid w:val="00D04F6A"/>
    <w:rsid w:val="00D0592D"/>
    <w:rsid w:val="00D06542"/>
    <w:rsid w:val="00D06D06"/>
    <w:rsid w:val="00D111E6"/>
    <w:rsid w:val="00D120E5"/>
    <w:rsid w:val="00D1268E"/>
    <w:rsid w:val="00D12E4D"/>
    <w:rsid w:val="00D13123"/>
    <w:rsid w:val="00D13844"/>
    <w:rsid w:val="00D148BC"/>
    <w:rsid w:val="00D14CD3"/>
    <w:rsid w:val="00D15C2C"/>
    <w:rsid w:val="00D17607"/>
    <w:rsid w:val="00D176D4"/>
    <w:rsid w:val="00D17C36"/>
    <w:rsid w:val="00D21882"/>
    <w:rsid w:val="00D22F0F"/>
    <w:rsid w:val="00D23E91"/>
    <w:rsid w:val="00D251C3"/>
    <w:rsid w:val="00D25324"/>
    <w:rsid w:val="00D253DE"/>
    <w:rsid w:val="00D27780"/>
    <w:rsid w:val="00D30AAA"/>
    <w:rsid w:val="00D30DBF"/>
    <w:rsid w:val="00D312CE"/>
    <w:rsid w:val="00D31CEA"/>
    <w:rsid w:val="00D32436"/>
    <w:rsid w:val="00D339C5"/>
    <w:rsid w:val="00D33A57"/>
    <w:rsid w:val="00D33A80"/>
    <w:rsid w:val="00D3436D"/>
    <w:rsid w:val="00D350C3"/>
    <w:rsid w:val="00D36228"/>
    <w:rsid w:val="00D37F38"/>
    <w:rsid w:val="00D426D8"/>
    <w:rsid w:val="00D42B5D"/>
    <w:rsid w:val="00D437C7"/>
    <w:rsid w:val="00D45D51"/>
    <w:rsid w:val="00D466A0"/>
    <w:rsid w:val="00D47156"/>
    <w:rsid w:val="00D503E3"/>
    <w:rsid w:val="00D51F83"/>
    <w:rsid w:val="00D526EF"/>
    <w:rsid w:val="00D52FC8"/>
    <w:rsid w:val="00D53863"/>
    <w:rsid w:val="00D54CA3"/>
    <w:rsid w:val="00D5570B"/>
    <w:rsid w:val="00D55A4A"/>
    <w:rsid w:val="00D56195"/>
    <w:rsid w:val="00D56BFC"/>
    <w:rsid w:val="00D570B6"/>
    <w:rsid w:val="00D571BA"/>
    <w:rsid w:val="00D5765A"/>
    <w:rsid w:val="00D602A8"/>
    <w:rsid w:val="00D60EFA"/>
    <w:rsid w:val="00D61E70"/>
    <w:rsid w:val="00D62057"/>
    <w:rsid w:val="00D62D98"/>
    <w:rsid w:val="00D635E3"/>
    <w:rsid w:val="00D63D82"/>
    <w:rsid w:val="00D646FA"/>
    <w:rsid w:val="00D6487E"/>
    <w:rsid w:val="00D65B02"/>
    <w:rsid w:val="00D663FE"/>
    <w:rsid w:val="00D66507"/>
    <w:rsid w:val="00D66FEB"/>
    <w:rsid w:val="00D67094"/>
    <w:rsid w:val="00D670B8"/>
    <w:rsid w:val="00D7047F"/>
    <w:rsid w:val="00D70D68"/>
    <w:rsid w:val="00D70F89"/>
    <w:rsid w:val="00D73010"/>
    <w:rsid w:val="00D7324D"/>
    <w:rsid w:val="00D734A5"/>
    <w:rsid w:val="00D73750"/>
    <w:rsid w:val="00D74856"/>
    <w:rsid w:val="00D7637D"/>
    <w:rsid w:val="00D76CAA"/>
    <w:rsid w:val="00D774CC"/>
    <w:rsid w:val="00D776AC"/>
    <w:rsid w:val="00D8103B"/>
    <w:rsid w:val="00D81358"/>
    <w:rsid w:val="00D833F9"/>
    <w:rsid w:val="00D83C1F"/>
    <w:rsid w:val="00D86409"/>
    <w:rsid w:val="00D87EA6"/>
    <w:rsid w:val="00D91C93"/>
    <w:rsid w:val="00D9221E"/>
    <w:rsid w:val="00D92DAE"/>
    <w:rsid w:val="00D94FB6"/>
    <w:rsid w:val="00D95838"/>
    <w:rsid w:val="00D95F1D"/>
    <w:rsid w:val="00D97BE4"/>
    <w:rsid w:val="00D97CB6"/>
    <w:rsid w:val="00D97E3D"/>
    <w:rsid w:val="00DA0017"/>
    <w:rsid w:val="00DA06CA"/>
    <w:rsid w:val="00DA2CF8"/>
    <w:rsid w:val="00DA4820"/>
    <w:rsid w:val="00DA4E01"/>
    <w:rsid w:val="00DA6159"/>
    <w:rsid w:val="00DA72B5"/>
    <w:rsid w:val="00DB1D42"/>
    <w:rsid w:val="00DB225A"/>
    <w:rsid w:val="00DB2CDA"/>
    <w:rsid w:val="00DB361D"/>
    <w:rsid w:val="00DB377E"/>
    <w:rsid w:val="00DB462C"/>
    <w:rsid w:val="00DB735B"/>
    <w:rsid w:val="00DB7658"/>
    <w:rsid w:val="00DB79C3"/>
    <w:rsid w:val="00DC0149"/>
    <w:rsid w:val="00DC1366"/>
    <w:rsid w:val="00DC1951"/>
    <w:rsid w:val="00DC1A9B"/>
    <w:rsid w:val="00DC1D74"/>
    <w:rsid w:val="00DC21C3"/>
    <w:rsid w:val="00DC4268"/>
    <w:rsid w:val="00DC519A"/>
    <w:rsid w:val="00DC5F0F"/>
    <w:rsid w:val="00DC6047"/>
    <w:rsid w:val="00DC6163"/>
    <w:rsid w:val="00DC6362"/>
    <w:rsid w:val="00DD0A2B"/>
    <w:rsid w:val="00DD0EC4"/>
    <w:rsid w:val="00DD140F"/>
    <w:rsid w:val="00DD2FA5"/>
    <w:rsid w:val="00DD412C"/>
    <w:rsid w:val="00DD4207"/>
    <w:rsid w:val="00DD55B8"/>
    <w:rsid w:val="00DD75AB"/>
    <w:rsid w:val="00DE00D8"/>
    <w:rsid w:val="00DE1029"/>
    <w:rsid w:val="00DE211F"/>
    <w:rsid w:val="00DE22E4"/>
    <w:rsid w:val="00DE35BE"/>
    <w:rsid w:val="00DE3EF3"/>
    <w:rsid w:val="00DE4899"/>
    <w:rsid w:val="00DE52D1"/>
    <w:rsid w:val="00DF08CD"/>
    <w:rsid w:val="00DF0FAE"/>
    <w:rsid w:val="00DF244F"/>
    <w:rsid w:val="00DF2819"/>
    <w:rsid w:val="00DF2821"/>
    <w:rsid w:val="00DF2904"/>
    <w:rsid w:val="00DF2911"/>
    <w:rsid w:val="00DF2A0F"/>
    <w:rsid w:val="00DF3017"/>
    <w:rsid w:val="00DF3671"/>
    <w:rsid w:val="00DF44FD"/>
    <w:rsid w:val="00DF46B8"/>
    <w:rsid w:val="00DF6004"/>
    <w:rsid w:val="00DF64D4"/>
    <w:rsid w:val="00DF7388"/>
    <w:rsid w:val="00DF7544"/>
    <w:rsid w:val="00DF7D99"/>
    <w:rsid w:val="00E0192C"/>
    <w:rsid w:val="00E022C3"/>
    <w:rsid w:val="00E03030"/>
    <w:rsid w:val="00E0462A"/>
    <w:rsid w:val="00E04E4E"/>
    <w:rsid w:val="00E05687"/>
    <w:rsid w:val="00E05A6C"/>
    <w:rsid w:val="00E06929"/>
    <w:rsid w:val="00E074BA"/>
    <w:rsid w:val="00E07E7C"/>
    <w:rsid w:val="00E10349"/>
    <w:rsid w:val="00E1037C"/>
    <w:rsid w:val="00E11E36"/>
    <w:rsid w:val="00E12454"/>
    <w:rsid w:val="00E13550"/>
    <w:rsid w:val="00E14F26"/>
    <w:rsid w:val="00E14F69"/>
    <w:rsid w:val="00E16ABF"/>
    <w:rsid w:val="00E174AD"/>
    <w:rsid w:val="00E209F8"/>
    <w:rsid w:val="00E21C2E"/>
    <w:rsid w:val="00E22207"/>
    <w:rsid w:val="00E224B9"/>
    <w:rsid w:val="00E228A0"/>
    <w:rsid w:val="00E22B5A"/>
    <w:rsid w:val="00E24370"/>
    <w:rsid w:val="00E25212"/>
    <w:rsid w:val="00E2548E"/>
    <w:rsid w:val="00E25F95"/>
    <w:rsid w:val="00E26B0A"/>
    <w:rsid w:val="00E26C61"/>
    <w:rsid w:val="00E3256A"/>
    <w:rsid w:val="00E32D36"/>
    <w:rsid w:val="00E3335C"/>
    <w:rsid w:val="00E35C77"/>
    <w:rsid w:val="00E3643E"/>
    <w:rsid w:val="00E412E8"/>
    <w:rsid w:val="00E4174D"/>
    <w:rsid w:val="00E41BAE"/>
    <w:rsid w:val="00E43691"/>
    <w:rsid w:val="00E438B7"/>
    <w:rsid w:val="00E43B7C"/>
    <w:rsid w:val="00E45925"/>
    <w:rsid w:val="00E46913"/>
    <w:rsid w:val="00E503E9"/>
    <w:rsid w:val="00E51833"/>
    <w:rsid w:val="00E51C87"/>
    <w:rsid w:val="00E52677"/>
    <w:rsid w:val="00E52B76"/>
    <w:rsid w:val="00E54356"/>
    <w:rsid w:val="00E54412"/>
    <w:rsid w:val="00E547B0"/>
    <w:rsid w:val="00E54B6E"/>
    <w:rsid w:val="00E55797"/>
    <w:rsid w:val="00E562E0"/>
    <w:rsid w:val="00E568A0"/>
    <w:rsid w:val="00E56F4E"/>
    <w:rsid w:val="00E6015F"/>
    <w:rsid w:val="00E6053E"/>
    <w:rsid w:val="00E612ED"/>
    <w:rsid w:val="00E61FF6"/>
    <w:rsid w:val="00E62B4E"/>
    <w:rsid w:val="00E640C8"/>
    <w:rsid w:val="00E66351"/>
    <w:rsid w:val="00E66E34"/>
    <w:rsid w:val="00E67456"/>
    <w:rsid w:val="00E67572"/>
    <w:rsid w:val="00E67B9F"/>
    <w:rsid w:val="00E70255"/>
    <w:rsid w:val="00E70F10"/>
    <w:rsid w:val="00E718EC"/>
    <w:rsid w:val="00E73C9C"/>
    <w:rsid w:val="00E751F1"/>
    <w:rsid w:val="00E76333"/>
    <w:rsid w:val="00E771E6"/>
    <w:rsid w:val="00E83051"/>
    <w:rsid w:val="00E8415E"/>
    <w:rsid w:val="00E84B67"/>
    <w:rsid w:val="00E872CD"/>
    <w:rsid w:val="00E904D2"/>
    <w:rsid w:val="00E9093D"/>
    <w:rsid w:val="00E925D6"/>
    <w:rsid w:val="00E95BB0"/>
    <w:rsid w:val="00E97559"/>
    <w:rsid w:val="00E978B8"/>
    <w:rsid w:val="00EA0B82"/>
    <w:rsid w:val="00EA1C7C"/>
    <w:rsid w:val="00EA28D8"/>
    <w:rsid w:val="00EA29E9"/>
    <w:rsid w:val="00EA4307"/>
    <w:rsid w:val="00EA43B1"/>
    <w:rsid w:val="00EA4547"/>
    <w:rsid w:val="00EA4888"/>
    <w:rsid w:val="00EA5373"/>
    <w:rsid w:val="00EA562B"/>
    <w:rsid w:val="00EA646F"/>
    <w:rsid w:val="00EA64DA"/>
    <w:rsid w:val="00EA7C03"/>
    <w:rsid w:val="00EB0199"/>
    <w:rsid w:val="00EB158C"/>
    <w:rsid w:val="00EB1ED3"/>
    <w:rsid w:val="00EB240D"/>
    <w:rsid w:val="00EB2546"/>
    <w:rsid w:val="00EB27D3"/>
    <w:rsid w:val="00EB294F"/>
    <w:rsid w:val="00EB2A10"/>
    <w:rsid w:val="00EB3FF2"/>
    <w:rsid w:val="00EB41FD"/>
    <w:rsid w:val="00EB5D79"/>
    <w:rsid w:val="00EB7242"/>
    <w:rsid w:val="00EB7481"/>
    <w:rsid w:val="00EB75AD"/>
    <w:rsid w:val="00EC4246"/>
    <w:rsid w:val="00EC42A1"/>
    <w:rsid w:val="00EC4B32"/>
    <w:rsid w:val="00EC519B"/>
    <w:rsid w:val="00EC561F"/>
    <w:rsid w:val="00EC66E7"/>
    <w:rsid w:val="00EC695D"/>
    <w:rsid w:val="00EC7BBE"/>
    <w:rsid w:val="00ED0665"/>
    <w:rsid w:val="00ED1449"/>
    <w:rsid w:val="00ED26D7"/>
    <w:rsid w:val="00ED300B"/>
    <w:rsid w:val="00ED380B"/>
    <w:rsid w:val="00ED3AC0"/>
    <w:rsid w:val="00ED3BE5"/>
    <w:rsid w:val="00ED3CE1"/>
    <w:rsid w:val="00ED506D"/>
    <w:rsid w:val="00ED53E5"/>
    <w:rsid w:val="00ED5B6A"/>
    <w:rsid w:val="00ED766B"/>
    <w:rsid w:val="00ED7D87"/>
    <w:rsid w:val="00EE1B68"/>
    <w:rsid w:val="00EE4943"/>
    <w:rsid w:val="00EE536D"/>
    <w:rsid w:val="00EE6BE6"/>
    <w:rsid w:val="00EE6F20"/>
    <w:rsid w:val="00EE733E"/>
    <w:rsid w:val="00EE7503"/>
    <w:rsid w:val="00EE7E2B"/>
    <w:rsid w:val="00EF0229"/>
    <w:rsid w:val="00EF03CD"/>
    <w:rsid w:val="00EF1942"/>
    <w:rsid w:val="00EF21E0"/>
    <w:rsid w:val="00EF2326"/>
    <w:rsid w:val="00EF6D56"/>
    <w:rsid w:val="00EF7780"/>
    <w:rsid w:val="00F01602"/>
    <w:rsid w:val="00F025F4"/>
    <w:rsid w:val="00F0457C"/>
    <w:rsid w:val="00F065BE"/>
    <w:rsid w:val="00F107F6"/>
    <w:rsid w:val="00F10D07"/>
    <w:rsid w:val="00F11991"/>
    <w:rsid w:val="00F1309C"/>
    <w:rsid w:val="00F1403D"/>
    <w:rsid w:val="00F22B21"/>
    <w:rsid w:val="00F245BA"/>
    <w:rsid w:val="00F24703"/>
    <w:rsid w:val="00F25635"/>
    <w:rsid w:val="00F268D8"/>
    <w:rsid w:val="00F26E5D"/>
    <w:rsid w:val="00F27A67"/>
    <w:rsid w:val="00F27D11"/>
    <w:rsid w:val="00F27DC4"/>
    <w:rsid w:val="00F31111"/>
    <w:rsid w:val="00F311CA"/>
    <w:rsid w:val="00F315EC"/>
    <w:rsid w:val="00F31D04"/>
    <w:rsid w:val="00F34189"/>
    <w:rsid w:val="00F34212"/>
    <w:rsid w:val="00F34FA0"/>
    <w:rsid w:val="00F34FEF"/>
    <w:rsid w:val="00F3589F"/>
    <w:rsid w:val="00F368E3"/>
    <w:rsid w:val="00F372D2"/>
    <w:rsid w:val="00F407CD"/>
    <w:rsid w:val="00F41A46"/>
    <w:rsid w:val="00F420B9"/>
    <w:rsid w:val="00F43632"/>
    <w:rsid w:val="00F44034"/>
    <w:rsid w:val="00F452F4"/>
    <w:rsid w:val="00F453B5"/>
    <w:rsid w:val="00F45A1C"/>
    <w:rsid w:val="00F45CEF"/>
    <w:rsid w:val="00F45D05"/>
    <w:rsid w:val="00F468A6"/>
    <w:rsid w:val="00F4766A"/>
    <w:rsid w:val="00F47773"/>
    <w:rsid w:val="00F50AA9"/>
    <w:rsid w:val="00F53BA4"/>
    <w:rsid w:val="00F55A0D"/>
    <w:rsid w:val="00F5603B"/>
    <w:rsid w:val="00F56207"/>
    <w:rsid w:val="00F56A55"/>
    <w:rsid w:val="00F5725F"/>
    <w:rsid w:val="00F5784B"/>
    <w:rsid w:val="00F61AD5"/>
    <w:rsid w:val="00F62823"/>
    <w:rsid w:val="00F630F2"/>
    <w:rsid w:val="00F6327B"/>
    <w:rsid w:val="00F6367F"/>
    <w:rsid w:val="00F63731"/>
    <w:rsid w:val="00F6572F"/>
    <w:rsid w:val="00F6606F"/>
    <w:rsid w:val="00F668E1"/>
    <w:rsid w:val="00F70B07"/>
    <w:rsid w:val="00F7251A"/>
    <w:rsid w:val="00F73171"/>
    <w:rsid w:val="00F755CB"/>
    <w:rsid w:val="00F7569F"/>
    <w:rsid w:val="00F757EF"/>
    <w:rsid w:val="00F77364"/>
    <w:rsid w:val="00F77485"/>
    <w:rsid w:val="00F8023E"/>
    <w:rsid w:val="00F80D9C"/>
    <w:rsid w:val="00F8128D"/>
    <w:rsid w:val="00F81A18"/>
    <w:rsid w:val="00F82E73"/>
    <w:rsid w:val="00F835C3"/>
    <w:rsid w:val="00F84167"/>
    <w:rsid w:val="00F852BF"/>
    <w:rsid w:val="00F8665E"/>
    <w:rsid w:val="00F871F1"/>
    <w:rsid w:val="00F872BA"/>
    <w:rsid w:val="00F875F7"/>
    <w:rsid w:val="00F87A2F"/>
    <w:rsid w:val="00F87C83"/>
    <w:rsid w:val="00F902F8"/>
    <w:rsid w:val="00F910D4"/>
    <w:rsid w:val="00F91A83"/>
    <w:rsid w:val="00F91CB9"/>
    <w:rsid w:val="00F95A44"/>
    <w:rsid w:val="00F976BA"/>
    <w:rsid w:val="00F97893"/>
    <w:rsid w:val="00FA000B"/>
    <w:rsid w:val="00FA2690"/>
    <w:rsid w:val="00FA3B40"/>
    <w:rsid w:val="00FA49E4"/>
    <w:rsid w:val="00FA6813"/>
    <w:rsid w:val="00FA6981"/>
    <w:rsid w:val="00FA75A3"/>
    <w:rsid w:val="00FB0C8B"/>
    <w:rsid w:val="00FB182E"/>
    <w:rsid w:val="00FB18D3"/>
    <w:rsid w:val="00FB31D8"/>
    <w:rsid w:val="00FB4338"/>
    <w:rsid w:val="00FB4C1C"/>
    <w:rsid w:val="00FB52C8"/>
    <w:rsid w:val="00FC30F9"/>
    <w:rsid w:val="00FC46B4"/>
    <w:rsid w:val="00FC4A7A"/>
    <w:rsid w:val="00FC4B2D"/>
    <w:rsid w:val="00FC4B47"/>
    <w:rsid w:val="00FC537B"/>
    <w:rsid w:val="00FC564A"/>
    <w:rsid w:val="00FC5D36"/>
    <w:rsid w:val="00FC6B6D"/>
    <w:rsid w:val="00FC6EAF"/>
    <w:rsid w:val="00FC7152"/>
    <w:rsid w:val="00FD0049"/>
    <w:rsid w:val="00FD0183"/>
    <w:rsid w:val="00FD0635"/>
    <w:rsid w:val="00FD1B7D"/>
    <w:rsid w:val="00FD22CA"/>
    <w:rsid w:val="00FD2539"/>
    <w:rsid w:val="00FD2AE1"/>
    <w:rsid w:val="00FD2C4B"/>
    <w:rsid w:val="00FD2F5C"/>
    <w:rsid w:val="00FD39A1"/>
    <w:rsid w:val="00FD48D8"/>
    <w:rsid w:val="00FD5BEB"/>
    <w:rsid w:val="00FD6DD0"/>
    <w:rsid w:val="00FD7717"/>
    <w:rsid w:val="00FE19E9"/>
    <w:rsid w:val="00FE3DCE"/>
    <w:rsid w:val="00FE43A8"/>
    <w:rsid w:val="00FE491F"/>
    <w:rsid w:val="00FE6E15"/>
    <w:rsid w:val="00FE7314"/>
    <w:rsid w:val="00FF0A0F"/>
    <w:rsid w:val="00FF0DEB"/>
    <w:rsid w:val="00FF1A20"/>
    <w:rsid w:val="00FF43F2"/>
    <w:rsid w:val="00FF4468"/>
    <w:rsid w:val="00FF5E7B"/>
    <w:rsid w:val="00FF7F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58A31"/>
  <w15:chartTrackingRefBased/>
  <w15:docId w15:val="{F638DB55-78DA-468D-8D9E-4955C972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692D"/>
    <w:pPr>
      <w:spacing w:after="200" w:line="276" w:lineRule="auto"/>
    </w:pPr>
    <w:rPr>
      <w:sz w:val="22"/>
      <w:szCs w:val="22"/>
      <w:lang w:eastAsia="en-US"/>
    </w:rPr>
  </w:style>
  <w:style w:type="paragraph" w:styleId="Nagwek1">
    <w:name w:val="heading 1"/>
    <w:basedOn w:val="Normalny"/>
    <w:next w:val="Normalny"/>
    <w:link w:val="Nagwek1Znak"/>
    <w:qFormat/>
    <w:rsid w:val="000E1A41"/>
    <w:pPr>
      <w:keepNext/>
      <w:spacing w:after="0" w:line="240" w:lineRule="auto"/>
      <w:outlineLvl w:val="0"/>
    </w:pPr>
    <w:rPr>
      <w:rFonts w:ascii="Times New Roman" w:eastAsia="Times New Roman" w:hAnsi="Times New Roman"/>
      <w:b/>
      <w:sz w:val="28"/>
      <w:szCs w:val="20"/>
      <w:lang w:val="x-none" w:eastAsia="pl-PL"/>
    </w:rPr>
  </w:style>
  <w:style w:type="paragraph" w:styleId="Nagwek2">
    <w:name w:val="heading 2"/>
    <w:basedOn w:val="Normalny"/>
    <w:next w:val="Normalny"/>
    <w:link w:val="Nagwek2Znak"/>
    <w:qFormat/>
    <w:rsid w:val="00CB71CB"/>
    <w:pPr>
      <w:keepNext/>
      <w:spacing w:before="240" w:after="60" w:line="240" w:lineRule="auto"/>
      <w:outlineLvl w:val="1"/>
    </w:pPr>
    <w:rPr>
      <w:rFonts w:ascii="Arial" w:eastAsia="Times New Roman" w:hAnsi="Arial"/>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06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C06136"/>
    <w:pPr>
      <w:tabs>
        <w:tab w:val="center" w:pos="4536"/>
        <w:tab w:val="right" w:pos="9072"/>
      </w:tabs>
      <w:spacing w:after="0" w:line="240" w:lineRule="auto"/>
    </w:pPr>
  </w:style>
  <w:style w:type="character" w:customStyle="1" w:styleId="NagwekZnak">
    <w:name w:val="Nagłówek Znak"/>
    <w:basedOn w:val="Domylnaczcionkaakapitu"/>
    <w:link w:val="Nagwek"/>
    <w:semiHidden/>
    <w:rsid w:val="00C06136"/>
  </w:style>
  <w:style w:type="paragraph" w:styleId="Stopka">
    <w:name w:val="footer"/>
    <w:basedOn w:val="Normalny"/>
    <w:link w:val="StopkaZnak"/>
    <w:uiPriority w:val="99"/>
    <w:unhideWhenUsed/>
    <w:rsid w:val="00C061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6136"/>
  </w:style>
  <w:style w:type="paragraph" w:styleId="Akapitzlist">
    <w:name w:val="List Paragraph"/>
    <w:basedOn w:val="Normalny"/>
    <w:uiPriority w:val="34"/>
    <w:qFormat/>
    <w:rsid w:val="008C3F80"/>
    <w:pPr>
      <w:ind w:left="720"/>
      <w:contextualSpacing/>
    </w:pPr>
    <w:rPr>
      <w:rFonts w:ascii="Garamond" w:hAnsi="Garamond" w:cs="Arial Narrow"/>
      <w:sz w:val="24"/>
      <w:szCs w:val="24"/>
    </w:rPr>
  </w:style>
  <w:style w:type="paragraph" w:styleId="Tekstdymka">
    <w:name w:val="Balloon Text"/>
    <w:basedOn w:val="Normalny"/>
    <w:link w:val="TekstdymkaZnak"/>
    <w:uiPriority w:val="99"/>
    <w:semiHidden/>
    <w:unhideWhenUsed/>
    <w:rsid w:val="002F2003"/>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2F2003"/>
    <w:rPr>
      <w:rFonts w:ascii="Tahoma" w:hAnsi="Tahoma" w:cs="Tahoma"/>
      <w:sz w:val="16"/>
      <w:szCs w:val="16"/>
    </w:rPr>
  </w:style>
  <w:style w:type="character" w:customStyle="1" w:styleId="FontStyle28">
    <w:name w:val="Font Style28"/>
    <w:uiPriority w:val="99"/>
    <w:rsid w:val="00AF423C"/>
    <w:rPr>
      <w:rFonts w:ascii="Times New Roman" w:hAnsi="Times New Roman" w:cs="Times New Roman"/>
      <w:sz w:val="22"/>
      <w:szCs w:val="22"/>
    </w:rPr>
  </w:style>
  <w:style w:type="paragraph" w:customStyle="1" w:styleId="DomylnaczcionkaakapituAkapit">
    <w:name w:val="Domyślna czcionka akapitu Akapit"/>
    <w:basedOn w:val="Normalny"/>
    <w:rsid w:val="000E1A41"/>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rsid w:val="000E1A41"/>
    <w:rPr>
      <w:rFonts w:ascii="Times New Roman" w:eastAsia="Times New Roman" w:hAnsi="Times New Roman" w:cs="Times New Roman"/>
      <w:b/>
      <w:sz w:val="28"/>
      <w:szCs w:val="20"/>
      <w:lang w:eastAsia="pl-PL"/>
    </w:rPr>
  </w:style>
  <w:style w:type="character" w:customStyle="1" w:styleId="Teksttreci">
    <w:name w:val="Tekst treści_"/>
    <w:link w:val="Teksttreci0"/>
    <w:rsid w:val="000E763C"/>
    <w:rPr>
      <w:rFonts w:ascii="Times New Roman" w:hAnsi="Times New Roman" w:cs="Times New Roman"/>
      <w:shd w:val="clear" w:color="auto" w:fill="FFFFFF"/>
    </w:rPr>
  </w:style>
  <w:style w:type="paragraph" w:customStyle="1" w:styleId="Teksttreci0">
    <w:name w:val="Tekst treści"/>
    <w:basedOn w:val="Normalny"/>
    <w:link w:val="Teksttreci"/>
    <w:rsid w:val="000E763C"/>
    <w:pPr>
      <w:widowControl w:val="0"/>
      <w:shd w:val="clear" w:color="auto" w:fill="FFFFFF"/>
      <w:spacing w:after="0" w:line="240" w:lineRule="atLeast"/>
      <w:ind w:hanging="260"/>
    </w:pPr>
    <w:rPr>
      <w:rFonts w:ascii="Times New Roman" w:hAnsi="Times New Roman"/>
      <w:sz w:val="20"/>
      <w:szCs w:val="20"/>
      <w:lang w:val="x-none" w:eastAsia="x-none"/>
    </w:rPr>
  </w:style>
  <w:style w:type="character" w:customStyle="1" w:styleId="Teksttreci4">
    <w:name w:val="Tekst treści (4)_"/>
    <w:link w:val="Teksttreci40"/>
    <w:uiPriority w:val="99"/>
    <w:rsid w:val="00441EC7"/>
    <w:rPr>
      <w:rFonts w:ascii="Verdana" w:hAnsi="Verdana" w:cs="Verdana"/>
      <w:i/>
      <w:iCs/>
      <w:sz w:val="19"/>
      <w:szCs w:val="19"/>
      <w:shd w:val="clear" w:color="auto" w:fill="FFFFFF"/>
    </w:rPr>
  </w:style>
  <w:style w:type="paragraph" w:customStyle="1" w:styleId="Teksttreci40">
    <w:name w:val="Tekst treści (4)"/>
    <w:basedOn w:val="Normalny"/>
    <w:link w:val="Teksttreci4"/>
    <w:uiPriority w:val="99"/>
    <w:rsid w:val="00441EC7"/>
    <w:pPr>
      <w:widowControl w:val="0"/>
      <w:shd w:val="clear" w:color="auto" w:fill="FFFFFF"/>
      <w:spacing w:after="0" w:line="355" w:lineRule="exact"/>
      <w:jc w:val="both"/>
    </w:pPr>
    <w:rPr>
      <w:rFonts w:ascii="Verdana" w:hAnsi="Verdana"/>
      <w:i/>
      <w:iCs/>
      <w:sz w:val="19"/>
      <w:szCs w:val="19"/>
      <w:lang w:val="x-none" w:eastAsia="x-none"/>
    </w:rPr>
  </w:style>
  <w:style w:type="paragraph" w:styleId="Tekstkomentarza">
    <w:name w:val="annotation text"/>
    <w:basedOn w:val="Normalny"/>
    <w:link w:val="TekstkomentarzaZnak"/>
    <w:uiPriority w:val="99"/>
    <w:semiHidden/>
    <w:rsid w:val="00997F80"/>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997F80"/>
    <w:rPr>
      <w:rFonts w:ascii="Calibri" w:eastAsia="Calibri" w:hAnsi="Calibri" w:cs="Times New Roman"/>
      <w:sz w:val="20"/>
      <w:szCs w:val="20"/>
    </w:rPr>
  </w:style>
  <w:style w:type="character" w:styleId="Odwoaniedokomentarza">
    <w:name w:val="annotation reference"/>
    <w:uiPriority w:val="99"/>
    <w:semiHidden/>
    <w:rsid w:val="00890890"/>
    <w:rPr>
      <w:sz w:val="16"/>
      <w:szCs w:val="16"/>
    </w:rPr>
  </w:style>
  <w:style w:type="paragraph" w:styleId="Tekstprzypisudolnego">
    <w:name w:val="footnote text"/>
    <w:basedOn w:val="Normalny"/>
    <w:link w:val="TekstprzypisudolnegoZnak"/>
    <w:uiPriority w:val="99"/>
    <w:semiHidden/>
    <w:rsid w:val="00015865"/>
    <w:pPr>
      <w:spacing w:line="240" w:lineRule="auto"/>
    </w:pPr>
    <w:rPr>
      <w:sz w:val="20"/>
      <w:szCs w:val="20"/>
      <w:lang w:val="x-none" w:eastAsia="x-none"/>
    </w:rPr>
  </w:style>
  <w:style w:type="character" w:customStyle="1" w:styleId="TekstprzypisudolnegoZnak">
    <w:name w:val="Tekst przypisu dolnego Znak"/>
    <w:link w:val="Tekstprzypisudolnego"/>
    <w:uiPriority w:val="99"/>
    <w:semiHidden/>
    <w:rsid w:val="00015865"/>
    <w:rPr>
      <w:rFonts w:ascii="Calibri" w:eastAsia="Calibri" w:hAnsi="Calibri" w:cs="Times New Roman"/>
      <w:sz w:val="20"/>
      <w:szCs w:val="20"/>
    </w:rPr>
  </w:style>
  <w:style w:type="character" w:styleId="Odwoanieprzypisudolnego">
    <w:name w:val="footnote reference"/>
    <w:semiHidden/>
    <w:rsid w:val="00015865"/>
    <w:rPr>
      <w:vertAlign w:val="superscript"/>
    </w:rPr>
  </w:style>
  <w:style w:type="character" w:customStyle="1" w:styleId="TeksttreciKursywa">
    <w:name w:val="Tekst treści + Kursywa"/>
    <w:uiPriority w:val="99"/>
    <w:rsid w:val="004E2BB5"/>
    <w:rPr>
      <w:rFonts w:ascii="Times New Roman" w:hAnsi="Times New Roman" w:cs="Times New Roman"/>
      <w:i/>
      <w:iCs/>
      <w:sz w:val="23"/>
      <w:szCs w:val="23"/>
      <w:u w:val="none"/>
      <w:shd w:val="clear" w:color="auto" w:fill="FFFFFF"/>
    </w:rPr>
  </w:style>
  <w:style w:type="character" w:customStyle="1" w:styleId="Nagwek3">
    <w:name w:val="Nagłówek #3_"/>
    <w:link w:val="Nagwek30"/>
    <w:uiPriority w:val="99"/>
    <w:rsid w:val="00E4174D"/>
    <w:rPr>
      <w:rFonts w:ascii="Times New Roman" w:hAnsi="Times New Roman" w:cs="Times New Roman"/>
      <w:b/>
      <w:bCs/>
      <w:sz w:val="23"/>
      <w:szCs w:val="23"/>
      <w:shd w:val="clear" w:color="auto" w:fill="FFFFFF"/>
    </w:rPr>
  </w:style>
  <w:style w:type="paragraph" w:customStyle="1" w:styleId="Nagwek30">
    <w:name w:val="Nagłówek #3"/>
    <w:basedOn w:val="Normalny"/>
    <w:link w:val="Nagwek3"/>
    <w:uiPriority w:val="99"/>
    <w:rsid w:val="00E4174D"/>
    <w:pPr>
      <w:widowControl w:val="0"/>
      <w:shd w:val="clear" w:color="auto" w:fill="FFFFFF"/>
      <w:spacing w:before="60" w:after="60" w:line="414" w:lineRule="exact"/>
      <w:ind w:hanging="400"/>
      <w:outlineLvl w:val="2"/>
    </w:pPr>
    <w:rPr>
      <w:rFonts w:ascii="Times New Roman" w:hAnsi="Times New Roman"/>
      <w:b/>
      <w:bCs/>
      <w:sz w:val="23"/>
      <w:szCs w:val="23"/>
      <w:lang w:val="x-none" w:eastAsia="x-none"/>
    </w:rPr>
  </w:style>
  <w:style w:type="character" w:styleId="Hipercze">
    <w:name w:val="Hyperlink"/>
    <w:uiPriority w:val="99"/>
    <w:unhideWhenUsed/>
    <w:rsid w:val="00875746"/>
    <w:rPr>
      <w:color w:val="0000FF"/>
      <w:u w:val="single"/>
    </w:rPr>
  </w:style>
  <w:style w:type="paragraph" w:styleId="NormalnyWeb">
    <w:name w:val="Normal (Web)"/>
    <w:basedOn w:val="Normalny"/>
    <w:uiPriority w:val="99"/>
    <w:unhideWhenUsed/>
    <w:rsid w:val="0087574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2Znak">
    <w:name w:val="Nagłówek 2 Znak"/>
    <w:link w:val="Nagwek2"/>
    <w:rsid w:val="00CB71CB"/>
    <w:rPr>
      <w:rFonts w:ascii="Arial" w:eastAsia="Times New Roman" w:hAnsi="Arial" w:cs="Arial"/>
      <w:b/>
      <w:bCs/>
      <w:i/>
      <w:iCs/>
      <w:sz w:val="28"/>
      <w:szCs w:val="28"/>
    </w:rPr>
  </w:style>
  <w:style w:type="paragraph" w:styleId="Tekstpodstawowy">
    <w:name w:val="Body Text"/>
    <w:basedOn w:val="Normalny"/>
    <w:link w:val="TekstpodstawowyZnak"/>
    <w:uiPriority w:val="99"/>
    <w:unhideWhenUsed/>
    <w:rsid w:val="00CB71CB"/>
    <w:pPr>
      <w:spacing w:after="120"/>
    </w:pPr>
    <w:rPr>
      <w:lang w:val="x-none"/>
    </w:rPr>
  </w:style>
  <w:style w:type="character" w:customStyle="1" w:styleId="TekstpodstawowyZnak">
    <w:name w:val="Tekst podstawowy Znak"/>
    <w:link w:val="Tekstpodstawowy"/>
    <w:uiPriority w:val="99"/>
    <w:rsid w:val="00CB71CB"/>
    <w:rPr>
      <w:sz w:val="22"/>
      <w:szCs w:val="22"/>
      <w:lang w:eastAsia="en-US"/>
    </w:rPr>
  </w:style>
  <w:style w:type="paragraph" w:styleId="Tekstpodstawowyzwciciem">
    <w:name w:val="Body Text First Indent"/>
    <w:basedOn w:val="Tekstpodstawowy"/>
    <w:link w:val="TekstpodstawowyzwciciemZnak"/>
    <w:rsid w:val="00CB71CB"/>
    <w:pPr>
      <w:spacing w:line="240" w:lineRule="auto"/>
      <w:ind w:firstLine="210"/>
    </w:pPr>
    <w:rPr>
      <w:rFonts w:ascii="Times New Roman" w:eastAsia="Times New Roman" w:hAnsi="Times New Roman"/>
      <w:sz w:val="24"/>
      <w:szCs w:val="24"/>
    </w:rPr>
  </w:style>
  <w:style w:type="character" w:customStyle="1" w:styleId="TekstpodstawowyzwciciemZnak">
    <w:name w:val="Tekst podstawowy z wcięciem Znak"/>
    <w:link w:val="Tekstpodstawowyzwciciem"/>
    <w:rsid w:val="00CB71CB"/>
    <w:rPr>
      <w:rFonts w:ascii="Times New Roman" w:eastAsia="Times New Roman" w:hAnsi="Times New Roman"/>
      <w:sz w:val="24"/>
      <w:szCs w:val="24"/>
      <w:lang w:eastAsia="en-US"/>
    </w:rPr>
  </w:style>
  <w:style w:type="character" w:customStyle="1" w:styleId="WW8Num11z0">
    <w:name w:val="WW8Num11z0"/>
    <w:rsid w:val="006C5D1F"/>
    <w:rPr>
      <w:rFonts w:ascii="Symbol" w:hAnsi="Symbol"/>
    </w:rPr>
  </w:style>
  <w:style w:type="character" w:customStyle="1" w:styleId="Teksttreci6">
    <w:name w:val="Tekst treści (6)_"/>
    <w:link w:val="Teksttreci60"/>
    <w:uiPriority w:val="99"/>
    <w:rsid w:val="00C65A0D"/>
    <w:rPr>
      <w:rFonts w:ascii="Times New Roman" w:hAnsi="Times New Roman"/>
      <w:b/>
      <w:bCs/>
      <w:sz w:val="26"/>
      <w:szCs w:val="26"/>
      <w:shd w:val="clear" w:color="auto" w:fill="FFFFFF"/>
    </w:rPr>
  </w:style>
  <w:style w:type="paragraph" w:customStyle="1" w:styleId="Teksttreci1">
    <w:name w:val="Tekst treści1"/>
    <w:basedOn w:val="Normalny"/>
    <w:uiPriority w:val="99"/>
    <w:rsid w:val="00C65A0D"/>
    <w:pPr>
      <w:widowControl w:val="0"/>
      <w:shd w:val="clear" w:color="auto" w:fill="FFFFFF"/>
      <w:spacing w:before="900" w:after="0" w:line="317" w:lineRule="exact"/>
    </w:pPr>
    <w:rPr>
      <w:rFonts w:ascii="Times New Roman" w:eastAsia="Times New Roman" w:hAnsi="Times New Roman"/>
      <w:sz w:val="26"/>
      <w:szCs w:val="26"/>
      <w:lang w:eastAsia="pl-PL"/>
    </w:rPr>
  </w:style>
  <w:style w:type="paragraph" w:customStyle="1" w:styleId="Teksttreci60">
    <w:name w:val="Tekst treści (6)"/>
    <w:basedOn w:val="Normalny"/>
    <w:link w:val="Teksttreci6"/>
    <w:uiPriority w:val="99"/>
    <w:rsid w:val="00C65A0D"/>
    <w:pPr>
      <w:widowControl w:val="0"/>
      <w:shd w:val="clear" w:color="auto" w:fill="FFFFFF"/>
      <w:spacing w:after="0" w:line="322" w:lineRule="exact"/>
    </w:pPr>
    <w:rPr>
      <w:rFonts w:ascii="Times New Roman" w:hAnsi="Times New Roman"/>
      <w:b/>
      <w:bCs/>
      <w:sz w:val="26"/>
      <w:szCs w:val="26"/>
      <w:lang w:val="x-none" w:eastAsia="x-none"/>
    </w:rPr>
  </w:style>
  <w:style w:type="character" w:customStyle="1" w:styleId="Nagwek20">
    <w:name w:val="Nagłówek #2_"/>
    <w:link w:val="Nagwek21"/>
    <w:uiPriority w:val="99"/>
    <w:rsid w:val="003D40F4"/>
    <w:rPr>
      <w:rFonts w:ascii="Times New Roman" w:hAnsi="Times New Roman"/>
      <w:b/>
      <w:bCs/>
      <w:sz w:val="26"/>
      <w:szCs w:val="26"/>
      <w:shd w:val="clear" w:color="auto" w:fill="FFFFFF"/>
    </w:rPr>
  </w:style>
  <w:style w:type="paragraph" w:customStyle="1" w:styleId="Nagwek21">
    <w:name w:val="Nagłówek #2"/>
    <w:basedOn w:val="Normalny"/>
    <w:link w:val="Nagwek20"/>
    <w:uiPriority w:val="99"/>
    <w:rsid w:val="003D40F4"/>
    <w:pPr>
      <w:widowControl w:val="0"/>
      <w:shd w:val="clear" w:color="auto" w:fill="FFFFFF"/>
      <w:spacing w:before="300" w:after="0" w:line="317" w:lineRule="exact"/>
      <w:outlineLvl w:val="1"/>
    </w:pPr>
    <w:rPr>
      <w:rFonts w:ascii="Times New Roman" w:hAnsi="Times New Roman"/>
      <w:b/>
      <w:bCs/>
      <w:sz w:val="26"/>
      <w:szCs w:val="26"/>
      <w:lang w:val="x-none" w:eastAsia="x-none"/>
    </w:rPr>
  </w:style>
  <w:style w:type="character" w:customStyle="1" w:styleId="TeksttreciPogrubienie">
    <w:name w:val="Tekst treści + Pogrubienie"/>
    <w:rsid w:val="003D40F4"/>
    <w:rPr>
      <w:rFonts w:ascii="Times New Roman" w:hAnsi="Times New Roman" w:cs="Times New Roman"/>
      <w:b/>
      <w:bCs/>
      <w:sz w:val="26"/>
      <w:szCs w:val="26"/>
      <w:u w:val="none"/>
      <w:shd w:val="clear" w:color="auto" w:fill="FFFFFF"/>
    </w:rPr>
  </w:style>
  <w:style w:type="character" w:customStyle="1" w:styleId="TeksttreciPogrubienie1">
    <w:name w:val="Tekst treści + Pogrubienie1"/>
    <w:uiPriority w:val="99"/>
    <w:rsid w:val="00FE43A8"/>
    <w:rPr>
      <w:rFonts w:ascii="Arial" w:hAnsi="Arial" w:cs="Arial"/>
      <w:b/>
      <w:bCs/>
      <w:sz w:val="21"/>
      <w:szCs w:val="21"/>
      <w:u w:val="none"/>
      <w:shd w:val="clear" w:color="auto" w:fill="FFFFFF"/>
    </w:rPr>
  </w:style>
  <w:style w:type="character" w:customStyle="1" w:styleId="Nagweklubstopka">
    <w:name w:val="Nagłówek lub stopka_"/>
    <w:link w:val="Nagweklubstopka1"/>
    <w:uiPriority w:val="99"/>
    <w:rsid w:val="002614C0"/>
    <w:rPr>
      <w:rFonts w:cs="Calibri"/>
      <w:noProof/>
      <w:sz w:val="21"/>
      <w:szCs w:val="21"/>
      <w:shd w:val="clear" w:color="auto" w:fill="FFFFFF"/>
    </w:rPr>
  </w:style>
  <w:style w:type="paragraph" w:customStyle="1" w:styleId="Nagweklubstopka1">
    <w:name w:val="Nagłówek lub stopka1"/>
    <w:basedOn w:val="Normalny"/>
    <w:link w:val="Nagweklubstopka"/>
    <w:uiPriority w:val="99"/>
    <w:rsid w:val="002614C0"/>
    <w:pPr>
      <w:widowControl w:val="0"/>
      <w:shd w:val="clear" w:color="auto" w:fill="FFFFFF"/>
      <w:spacing w:after="0" w:line="240" w:lineRule="atLeast"/>
    </w:pPr>
    <w:rPr>
      <w:noProof/>
      <w:sz w:val="21"/>
      <w:szCs w:val="21"/>
      <w:lang w:val="x-none" w:eastAsia="x-none"/>
    </w:rPr>
  </w:style>
  <w:style w:type="character" w:customStyle="1" w:styleId="Teksttreci9">
    <w:name w:val="Tekst treści (9)_"/>
    <w:link w:val="Teksttreci90"/>
    <w:uiPriority w:val="99"/>
    <w:rsid w:val="007D558D"/>
    <w:rPr>
      <w:rFonts w:cs="Calibri"/>
      <w:i/>
      <w:iCs/>
      <w:sz w:val="22"/>
      <w:szCs w:val="22"/>
      <w:shd w:val="clear" w:color="auto" w:fill="FFFFFF"/>
    </w:rPr>
  </w:style>
  <w:style w:type="character" w:customStyle="1" w:styleId="Teksttreci4pt">
    <w:name w:val="Tekst treści + 4 pt"/>
    <w:uiPriority w:val="99"/>
    <w:rsid w:val="007D558D"/>
    <w:rPr>
      <w:rFonts w:ascii="Calibri" w:hAnsi="Calibri" w:cs="Calibri"/>
      <w:noProof/>
      <w:sz w:val="8"/>
      <w:szCs w:val="8"/>
      <w:u w:val="none"/>
      <w:shd w:val="clear" w:color="auto" w:fill="FFFFFF"/>
    </w:rPr>
  </w:style>
  <w:style w:type="paragraph" w:customStyle="1" w:styleId="Teksttreci90">
    <w:name w:val="Tekst treści (9)"/>
    <w:basedOn w:val="Normalny"/>
    <w:link w:val="Teksttreci9"/>
    <w:uiPriority w:val="99"/>
    <w:rsid w:val="007D558D"/>
    <w:pPr>
      <w:widowControl w:val="0"/>
      <w:shd w:val="clear" w:color="auto" w:fill="FFFFFF"/>
      <w:spacing w:after="0" w:line="292" w:lineRule="exact"/>
      <w:jc w:val="both"/>
    </w:pPr>
    <w:rPr>
      <w:i/>
      <w:iCs/>
      <w:lang w:val="x-none" w:eastAsia="x-none"/>
    </w:rPr>
  </w:style>
  <w:style w:type="character" w:customStyle="1" w:styleId="TeksttreciExact">
    <w:name w:val="Tekst treści Exact"/>
    <w:uiPriority w:val="99"/>
    <w:rsid w:val="007D558D"/>
    <w:rPr>
      <w:rFonts w:ascii="Calibri" w:hAnsi="Calibri" w:cs="Calibri"/>
      <w:spacing w:val="7"/>
      <w:sz w:val="20"/>
      <w:szCs w:val="20"/>
      <w:u w:val="none"/>
    </w:rPr>
  </w:style>
  <w:style w:type="character" w:customStyle="1" w:styleId="Teksttreci2">
    <w:name w:val="Tekst treści (2)_"/>
    <w:link w:val="Teksttreci20"/>
    <w:uiPriority w:val="99"/>
    <w:rsid w:val="006964CC"/>
    <w:rPr>
      <w:rFonts w:ascii="Times New Roman" w:hAnsi="Times New Roman"/>
      <w:b/>
      <w:bCs/>
      <w:sz w:val="21"/>
      <w:szCs w:val="21"/>
      <w:shd w:val="clear" w:color="auto" w:fill="FFFFFF"/>
    </w:rPr>
  </w:style>
  <w:style w:type="paragraph" w:customStyle="1" w:styleId="Teksttreci20">
    <w:name w:val="Tekst treści (2)"/>
    <w:basedOn w:val="Normalny"/>
    <w:link w:val="Teksttreci2"/>
    <w:uiPriority w:val="99"/>
    <w:rsid w:val="006964CC"/>
    <w:pPr>
      <w:widowControl w:val="0"/>
      <w:shd w:val="clear" w:color="auto" w:fill="FFFFFF"/>
      <w:spacing w:before="1860" w:after="0" w:line="436" w:lineRule="exact"/>
    </w:pPr>
    <w:rPr>
      <w:rFonts w:ascii="Times New Roman" w:hAnsi="Times New Roman"/>
      <w:b/>
      <w:bCs/>
      <w:sz w:val="21"/>
      <w:szCs w:val="21"/>
      <w:lang w:val="x-none" w:eastAsia="x-none"/>
    </w:rPr>
  </w:style>
  <w:style w:type="character" w:customStyle="1" w:styleId="PodpisobrazuExact">
    <w:name w:val="Podpis obrazu Exact"/>
    <w:link w:val="Podpisobrazu"/>
    <w:uiPriority w:val="99"/>
    <w:rsid w:val="0096410B"/>
    <w:rPr>
      <w:rFonts w:ascii="Times New Roman" w:hAnsi="Times New Roman"/>
      <w:spacing w:val="2"/>
      <w:sz w:val="17"/>
      <w:szCs w:val="17"/>
      <w:shd w:val="clear" w:color="auto" w:fill="FFFFFF"/>
    </w:rPr>
  </w:style>
  <w:style w:type="character" w:customStyle="1" w:styleId="PodpisobrazuExact1">
    <w:name w:val="Podpis obrazu Exact1"/>
    <w:uiPriority w:val="99"/>
    <w:rsid w:val="0096410B"/>
    <w:rPr>
      <w:rFonts w:ascii="Times New Roman" w:hAnsi="Times New Roman"/>
      <w:spacing w:val="2"/>
      <w:sz w:val="17"/>
      <w:szCs w:val="17"/>
      <w:shd w:val="clear" w:color="auto" w:fill="FFFFFF"/>
    </w:rPr>
  </w:style>
  <w:style w:type="paragraph" w:customStyle="1" w:styleId="Podpisobrazu">
    <w:name w:val="Podpis obrazu"/>
    <w:basedOn w:val="Normalny"/>
    <w:link w:val="PodpisobrazuExact"/>
    <w:rsid w:val="0096410B"/>
    <w:pPr>
      <w:widowControl w:val="0"/>
      <w:shd w:val="clear" w:color="auto" w:fill="FFFFFF"/>
      <w:spacing w:after="0" w:line="240" w:lineRule="atLeast"/>
    </w:pPr>
    <w:rPr>
      <w:rFonts w:ascii="Times New Roman" w:hAnsi="Times New Roman"/>
      <w:spacing w:val="2"/>
      <w:sz w:val="17"/>
      <w:szCs w:val="17"/>
      <w:lang w:val="x-none" w:eastAsia="x-none"/>
    </w:rPr>
  </w:style>
  <w:style w:type="paragraph" w:customStyle="1" w:styleId="Default">
    <w:name w:val="Default"/>
    <w:rsid w:val="00884B77"/>
    <w:pPr>
      <w:autoSpaceDE w:val="0"/>
      <w:autoSpaceDN w:val="0"/>
      <w:adjustRightInd w:val="0"/>
    </w:pPr>
    <w:rPr>
      <w:rFonts w:ascii="Times New Roman" w:hAnsi="Times New Roman"/>
      <w:color w:val="000000"/>
      <w:sz w:val="24"/>
      <w:szCs w:val="24"/>
      <w:lang w:eastAsia="en-US"/>
    </w:rPr>
  </w:style>
  <w:style w:type="character" w:customStyle="1" w:styleId="Teksttreci3Exact">
    <w:name w:val="Tekst treści (3) Exact"/>
    <w:uiPriority w:val="99"/>
    <w:rsid w:val="00D70D68"/>
    <w:rPr>
      <w:rFonts w:ascii="Bookman Old Style" w:hAnsi="Bookman Old Style" w:cs="Bookman Old Style"/>
      <w:b/>
      <w:bCs/>
      <w:spacing w:val="1"/>
      <w:sz w:val="20"/>
      <w:szCs w:val="20"/>
      <w:u w:val="none"/>
    </w:rPr>
  </w:style>
  <w:style w:type="character" w:customStyle="1" w:styleId="Teksttreci3">
    <w:name w:val="Tekst treści (3)_"/>
    <w:link w:val="Teksttreci30"/>
    <w:uiPriority w:val="99"/>
    <w:rsid w:val="00D70D68"/>
    <w:rPr>
      <w:rFonts w:ascii="Bookman Old Style" w:hAnsi="Bookman Old Style" w:cs="Bookman Old Style"/>
      <w:b/>
      <w:bCs/>
      <w:sz w:val="21"/>
      <w:szCs w:val="21"/>
      <w:shd w:val="clear" w:color="auto" w:fill="FFFFFF"/>
    </w:rPr>
  </w:style>
  <w:style w:type="paragraph" w:customStyle="1" w:styleId="Teksttreci30">
    <w:name w:val="Tekst treści (3)"/>
    <w:basedOn w:val="Normalny"/>
    <w:link w:val="Teksttreci3"/>
    <w:uiPriority w:val="99"/>
    <w:rsid w:val="00D70D68"/>
    <w:pPr>
      <w:widowControl w:val="0"/>
      <w:shd w:val="clear" w:color="auto" w:fill="FFFFFF"/>
      <w:spacing w:after="0" w:line="396" w:lineRule="exact"/>
    </w:pPr>
    <w:rPr>
      <w:rFonts w:ascii="Bookman Old Style" w:hAnsi="Bookman Old Style"/>
      <w:b/>
      <w:bCs/>
      <w:sz w:val="21"/>
      <w:szCs w:val="21"/>
      <w:lang w:val="x-none" w:eastAsia="x-none"/>
    </w:rPr>
  </w:style>
  <w:style w:type="character" w:customStyle="1" w:styleId="TeksttreciTimesNewRoman1">
    <w:name w:val="Tekst treści + Times New Roman1"/>
    <w:aliases w:val="82,5 pt5"/>
    <w:uiPriority w:val="99"/>
    <w:rsid w:val="00262163"/>
    <w:rPr>
      <w:rFonts w:ascii="Times New Roman" w:hAnsi="Times New Roman" w:cs="Times New Roman"/>
      <w:sz w:val="17"/>
      <w:szCs w:val="17"/>
      <w:u w:val="none"/>
      <w:shd w:val="clear" w:color="auto" w:fill="FFFFFF"/>
    </w:rPr>
  </w:style>
  <w:style w:type="character" w:customStyle="1" w:styleId="Teksttreci9pt">
    <w:name w:val="Tekst treści + 9 pt"/>
    <w:aliases w:val="Bez pogrubienia"/>
    <w:uiPriority w:val="99"/>
    <w:rsid w:val="007D4D19"/>
    <w:rPr>
      <w:rFonts w:ascii="Times New Roman" w:hAnsi="Times New Roman" w:cs="Times New Roman"/>
      <w:sz w:val="18"/>
      <w:szCs w:val="18"/>
      <w:u w:val="none"/>
      <w:shd w:val="clear" w:color="auto" w:fill="FFFFFF"/>
    </w:rPr>
  </w:style>
  <w:style w:type="character" w:customStyle="1" w:styleId="Teksttreci9pt3">
    <w:name w:val="Tekst treści + 9 pt3"/>
    <w:aliases w:val="Kursywa"/>
    <w:uiPriority w:val="99"/>
    <w:rsid w:val="002B5BC3"/>
    <w:rPr>
      <w:rFonts w:ascii="Times New Roman" w:hAnsi="Times New Roman" w:cs="Times New Roman"/>
      <w:b/>
      <w:bCs/>
      <w:i/>
      <w:iCs/>
      <w:sz w:val="18"/>
      <w:szCs w:val="18"/>
      <w:u w:val="none"/>
      <w:shd w:val="clear" w:color="auto" w:fill="FFFFFF"/>
    </w:rPr>
  </w:style>
  <w:style w:type="character" w:customStyle="1" w:styleId="Teksttreci9pt2">
    <w:name w:val="Tekst treści + 9 pt2"/>
    <w:aliases w:val="Bez pogrubienia2"/>
    <w:uiPriority w:val="99"/>
    <w:rsid w:val="0042490A"/>
    <w:rPr>
      <w:rFonts w:ascii="Times New Roman" w:hAnsi="Times New Roman" w:cs="Times New Roman"/>
      <w:sz w:val="18"/>
      <w:szCs w:val="18"/>
      <w:u w:val="none"/>
      <w:shd w:val="clear" w:color="auto" w:fill="FFFFFF"/>
    </w:rPr>
  </w:style>
  <w:style w:type="character" w:customStyle="1" w:styleId="Teksttreci9pt1">
    <w:name w:val="Tekst treści + 9 pt1"/>
    <w:aliases w:val="Kursywa1"/>
    <w:uiPriority w:val="99"/>
    <w:rsid w:val="00CD21D9"/>
    <w:rPr>
      <w:rFonts w:ascii="Times New Roman" w:hAnsi="Times New Roman" w:cs="Times New Roman"/>
      <w:b/>
      <w:bCs/>
      <w:i/>
      <w:iCs/>
      <w:noProof/>
      <w:sz w:val="18"/>
      <w:szCs w:val="18"/>
      <w:u w:val="none"/>
      <w:shd w:val="clear" w:color="auto" w:fill="FFFFFF"/>
    </w:rPr>
  </w:style>
  <w:style w:type="paragraph" w:styleId="Tematkomentarza">
    <w:name w:val="annotation subject"/>
    <w:basedOn w:val="Tekstkomentarza"/>
    <w:next w:val="Tekstkomentarza"/>
    <w:link w:val="TematkomentarzaZnak"/>
    <w:uiPriority w:val="99"/>
    <w:semiHidden/>
    <w:unhideWhenUsed/>
    <w:rsid w:val="005463DD"/>
    <w:rPr>
      <w:b/>
      <w:bCs/>
      <w:lang w:eastAsia="en-US"/>
    </w:rPr>
  </w:style>
  <w:style w:type="character" w:customStyle="1" w:styleId="TematkomentarzaZnak">
    <w:name w:val="Temat komentarza Znak"/>
    <w:link w:val="Tematkomentarza"/>
    <w:uiPriority w:val="99"/>
    <w:semiHidden/>
    <w:rsid w:val="005463DD"/>
    <w:rPr>
      <w:rFonts w:ascii="Calibri" w:eastAsia="Calibri" w:hAnsi="Calibri" w:cs="Times New Roman"/>
      <w:b/>
      <w:bCs/>
      <w:sz w:val="20"/>
      <w:szCs w:val="20"/>
      <w:lang w:eastAsia="en-US"/>
    </w:rPr>
  </w:style>
  <w:style w:type="paragraph" w:styleId="HTML-wstpniesformatowany">
    <w:name w:val="HTML Preformatted"/>
    <w:basedOn w:val="Normalny"/>
    <w:link w:val="HTML-wstpniesformatowanyZnak"/>
    <w:uiPriority w:val="99"/>
    <w:semiHidden/>
    <w:unhideWhenUsed/>
    <w:rsid w:val="005D2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wstpniesformatowanyZnak">
    <w:name w:val="HTML - wstępnie sformatowany Znak"/>
    <w:link w:val="HTML-wstpniesformatowany"/>
    <w:uiPriority w:val="99"/>
    <w:semiHidden/>
    <w:rsid w:val="005D2A14"/>
    <w:rPr>
      <w:rFonts w:ascii="Courier New" w:hAnsi="Courier New" w:cs="Courier New"/>
    </w:rPr>
  </w:style>
  <w:style w:type="paragraph" w:customStyle="1" w:styleId="USTustnpkodeksu">
    <w:name w:val="UST(§) – ust. (§ np. kodeksu)"/>
    <w:basedOn w:val="Normalny"/>
    <w:uiPriority w:val="99"/>
    <w:rsid w:val="00AE3833"/>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paragraph" w:customStyle="1" w:styleId="PKTpunkt">
    <w:name w:val="PKT – punkt"/>
    <w:rsid w:val="002541AE"/>
    <w:pPr>
      <w:spacing w:line="360" w:lineRule="auto"/>
      <w:ind w:left="510" w:hanging="510"/>
      <w:jc w:val="both"/>
    </w:pPr>
    <w:rPr>
      <w:rFonts w:ascii="Times" w:eastAsia="Times New Roman" w:hAnsi="Times" w:cs="Arial"/>
      <w:bCs/>
      <w:sz w:val="24"/>
    </w:rPr>
  </w:style>
  <w:style w:type="paragraph" w:customStyle="1" w:styleId="ROZDZODDZOZNoznaczenierozdziauluboddziau">
    <w:name w:val="ROZDZ(ODDZ)_OZN – oznaczenie rozdziału lub oddziału"/>
    <w:next w:val="Normalny"/>
    <w:uiPriority w:val="99"/>
    <w:rsid w:val="00D339C5"/>
    <w:pPr>
      <w:keepNext/>
      <w:suppressAutoHyphens/>
      <w:spacing w:before="120" w:line="360" w:lineRule="auto"/>
      <w:jc w:val="center"/>
    </w:pPr>
    <w:rPr>
      <w:rFonts w:ascii="Times" w:eastAsia="Times New Roman" w:hAnsi="Times" w:cs="Arial"/>
      <w:bCs/>
      <w:kern w:val="24"/>
      <w:sz w:val="24"/>
      <w:szCs w:val="24"/>
    </w:rPr>
  </w:style>
  <w:style w:type="paragraph" w:customStyle="1" w:styleId="LITlitera">
    <w:name w:val="LIT – litera"/>
    <w:basedOn w:val="PKTpunkt"/>
    <w:rsid w:val="00E925D6"/>
    <w:pPr>
      <w:ind w:left="986" w:hanging="476"/>
    </w:pPr>
  </w:style>
  <w:style w:type="paragraph" w:customStyle="1" w:styleId="Akapitzlist1">
    <w:name w:val="Akapit z listą1"/>
    <w:basedOn w:val="Normalny"/>
    <w:rsid w:val="00DF7D99"/>
    <w:pPr>
      <w:ind w:left="720"/>
    </w:pPr>
    <w:rPr>
      <w:rFonts w:eastAsia="Times New Roman"/>
    </w:rPr>
  </w:style>
  <w:style w:type="paragraph" w:customStyle="1" w:styleId="Teksttreci61">
    <w:name w:val="Tekst treści (6)1"/>
    <w:basedOn w:val="Normalny"/>
    <w:uiPriority w:val="99"/>
    <w:rsid w:val="00DF7D99"/>
    <w:pPr>
      <w:widowControl w:val="0"/>
      <w:shd w:val="clear" w:color="auto" w:fill="FFFFFF"/>
      <w:spacing w:before="240" w:after="0" w:line="267" w:lineRule="exact"/>
    </w:pPr>
    <w:rPr>
      <w:rFonts w:ascii="Times New Roman" w:eastAsia="Times New Roman" w:hAnsi="Times New Roman"/>
      <w:i/>
      <w:iCs/>
      <w:lang w:eastAsia="pl-PL"/>
    </w:rPr>
  </w:style>
  <w:style w:type="character" w:styleId="Uwydatnienie">
    <w:name w:val="Emphasis"/>
    <w:uiPriority w:val="20"/>
    <w:qFormat/>
    <w:rsid w:val="00883FC7"/>
    <w:rPr>
      <w:rFonts w:cs="Times New Roman"/>
      <w:i/>
      <w:iCs/>
    </w:rPr>
  </w:style>
  <w:style w:type="character" w:customStyle="1" w:styleId="Teksttreci21">
    <w:name w:val="Tekst treści2"/>
    <w:uiPriority w:val="99"/>
    <w:rsid w:val="0051169A"/>
    <w:rPr>
      <w:rFonts w:ascii="Times New Roman" w:hAnsi="Times New Roman" w:cs="Times New Roman"/>
      <w:sz w:val="22"/>
      <w:szCs w:val="22"/>
      <w:u w:val="single"/>
      <w:shd w:val="clear" w:color="auto" w:fill="FFFFFF"/>
    </w:rPr>
  </w:style>
  <w:style w:type="character" w:customStyle="1" w:styleId="Teksttreci3Pogrubienie">
    <w:name w:val="Tekst treści (3) + Pogrubienie"/>
    <w:uiPriority w:val="99"/>
    <w:rsid w:val="0051169A"/>
    <w:rPr>
      <w:rFonts w:ascii="Arial" w:hAnsi="Arial" w:cs="Arial"/>
      <w:b/>
      <w:bCs/>
      <w:sz w:val="21"/>
      <w:szCs w:val="21"/>
      <w:u w:val="none"/>
      <w:shd w:val="clear" w:color="auto" w:fill="FFFFFF"/>
    </w:rPr>
  </w:style>
  <w:style w:type="paragraph" w:customStyle="1" w:styleId="Teksttreci31">
    <w:name w:val="Tekst treści (3)1"/>
    <w:basedOn w:val="Normalny"/>
    <w:uiPriority w:val="99"/>
    <w:rsid w:val="0051169A"/>
    <w:pPr>
      <w:widowControl w:val="0"/>
      <w:shd w:val="clear" w:color="auto" w:fill="FFFFFF"/>
      <w:spacing w:before="960" w:after="960" w:line="240" w:lineRule="atLeast"/>
      <w:jc w:val="right"/>
    </w:pPr>
    <w:rPr>
      <w:rFonts w:ascii="Arial" w:eastAsia="Times New Roman" w:hAnsi="Arial" w:cs="Arial"/>
      <w:sz w:val="21"/>
      <w:szCs w:val="21"/>
      <w:lang w:eastAsia="pl-PL"/>
    </w:rPr>
  </w:style>
  <w:style w:type="paragraph" w:customStyle="1" w:styleId="Teksttreci41">
    <w:name w:val="Tekst treści (4)1"/>
    <w:basedOn w:val="Normalny"/>
    <w:uiPriority w:val="99"/>
    <w:rsid w:val="0051169A"/>
    <w:pPr>
      <w:widowControl w:val="0"/>
      <w:shd w:val="clear" w:color="auto" w:fill="FFFFFF"/>
      <w:spacing w:before="960" w:after="0" w:line="293" w:lineRule="exact"/>
    </w:pPr>
    <w:rPr>
      <w:rFonts w:ascii="Arial" w:eastAsia="Times New Roman" w:hAnsi="Arial" w:cs="Arial"/>
      <w:b/>
      <w:bCs/>
      <w:sz w:val="21"/>
      <w:szCs w:val="21"/>
      <w:lang w:eastAsia="pl-PL"/>
    </w:rPr>
  </w:style>
  <w:style w:type="character" w:customStyle="1" w:styleId="Teksttreci3Pogrubienie1">
    <w:name w:val="Tekst treści (3) + Pogrubienie1"/>
    <w:uiPriority w:val="99"/>
    <w:rsid w:val="00B94198"/>
    <w:rPr>
      <w:rFonts w:ascii="Arial" w:hAnsi="Arial" w:cs="Arial"/>
      <w:b/>
      <w:bCs/>
      <w:strike/>
      <w:sz w:val="21"/>
      <w:szCs w:val="21"/>
      <w:u w:val="none"/>
      <w:shd w:val="clear" w:color="auto" w:fill="FFFFFF"/>
    </w:rPr>
  </w:style>
  <w:style w:type="character" w:customStyle="1" w:styleId="Teksttreci32">
    <w:name w:val="Tekst treści (3)2"/>
    <w:uiPriority w:val="99"/>
    <w:rsid w:val="00B94198"/>
    <w:rPr>
      <w:rFonts w:ascii="Arial" w:hAnsi="Arial" w:cs="Arial"/>
      <w:b/>
      <w:bCs/>
      <w:strike/>
      <w:noProof/>
      <w:sz w:val="21"/>
      <w:szCs w:val="21"/>
      <w:u w:val="none"/>
      <w:shd w:val="clear" w:color="auto" w:fill="FFFFFF"/>
    </w:rPr>
  </w:style>
  <w:style w:type="character" w:customStyle="1" w:styleId="Nagwek10">
    <w:name w:val="Nagłówek #1_"/>
    <w:link w:val="Nagwek11"/>
    <w:uiPriority w:val="99"/>
    <w:rsid w:val="00B94198"/>
    <w:rPr>
      <w:rFonts w:ascii="Arial" w:hAnsi="Arial" w:cs="Arial"/>
      <w:b/>
      <w:bCs/>
      <w:sz w:val="21"/>
      <w:szCs w:val="21"/>
      <w:shd w:val="clear" w:color="auto" w:fill="FFFFFF"/>
    </w:rPr>
  </w:style>
  <w:style w:type="character" w:customStyle="1" w:styleId="Nagwek12">
    <w:name w:val="Nagłówek #1"/>
    <w:uiPriority w:val="99"/>
    <w:rsid w:val="00B94198"/>
    <w:rPr>
      <w:rFonts w:ascii="Arial" w:hAnsi="Arial" w:cs="Arial"/>
      <w:b/>
      <w:bCs/>
      <w:sz w:val="21"/>
      <w:szCs w:val="21"/>
      <w:shd w:val="clear" w:color="auto" w:fill="FFFFFF"/>
    </w:rPr>
  </w:style>
  <w:style w:type="paragraph" w:customStyle="1" w:styleId="Nagwek11">
    <w:name w:val="Nagłówek #11"/>
    <w:basedOn w:val="Normalny"/>
    <w:link w:val="Nagwek10"/>
    <w:uiPriority w:val="99"/>
    <w:rsid w:val="00B94198"/>
    <w:pPr>
      <w:widowControl w:val="0"/>
      <w:shd w:val="clear" w:color="auto" w:fill="FFFFFF"/>
      <w:spacing w:before="60" w:after="360" w:line="240" w:lineRule="atLeast"/>
      <w:outlineLvl w:val="0"/>
    </w:pPr>
    <w:rPr>
      <w:rFonts w:ascii="Arial" w:hAnsi="Arial"/>
      <w:b/>
      <w:bCs/>
      <w:sz w:val="21"/>
      <w:szCs w:val="21"/>
      <w:lang w:val="x-none" w:eastAsia="x-none"/>
    </w:rPr>
  </w:style>
  <w:style w:type="character" w:customStyle="1" w:styleId="TeksttreciBezkursywy">
    <w:name w:val="Tekst treści + Bez kursywy"/>
    <w:uiPriority w:val="99"/>
    <w:rsid w:val="00B94198"/>
    <w:rPr>
      <w:rFonts w:ascii="Arial" w:hAnsi="Arial" w:cs="Arial"/>
      <w:sz w:val="21"/>
      <w:szCs w:val="21"/>
      <w:u w:val="none"/>
      <w:shd w:val="clear" w:color="auto" w:fill="FFFFFF"/>
    </w:rPr>
  </w:style>
  <w:style w:type="character" w:customStyle="1" w:styleId="Teksttreci33">
    <w:name w:val="Tekst treści3"/>
    <w:uiPriority w:val="99"/>
    <w:rsid w:val="00F630F2"/>
    <w:rPr>
      <w:rFonts w:ascii="Times New Roman" w:hAnsi="Times New Roman" w:cs="Times New Roman"/>
      <w:sz w:val="22"/>
      <w:szCs w:val="22"/>
      <w:u w:val="none"/>
      <w:shd w:val="clear" w:color="auto" w:fill="FFFFFF"/>
    </w:rPr>
  </w:style>
  <w:style w:type="character" w:customStyle="1" w:styleId="Teksttreci4Bezkursywy">
    <w:name w:val="Tekst treści (4) + Bez kursywy"/>
    <w:uiPriority w:val="99"/>
    <w:rsid w:val="00985751"/>
    <w:rPr>
      <w:rFonts w:ascii="Calibri" w:hAnsi="Calibri" w:cs="Calibri"/>
      <w:i/>
      <w:iCs/>
      <w:sz w:val="57"/>
      <w:szCs w:val="57"/>
      <w:u w:val="none"/>
      <w:shd w:val="clear" w:color="auto" w:fill="FFFFFF"/>
    </w:rPr>
  </w:style>
  <w:style w:type="character" w:customStyle="1" w:styleId="Teksttreci5">
    <w:name w:val="Tekst treści5"/>
    <w:uiPriority w:val="99"/>
    <w:rsid w:val="00302839"/>
    <w:rPr>
      <w:rFonts w:ascii="Calibri" w:hAnsi="Calibri" w:cs="Calibri"/>
      <w:sz w:val="57"/>
      <w:szCs w:val="57"/>
      <w:u w:val="none"/>
      <w:shd w:val="clear" w:color="auto" w:fill="FFFFFF"/>
    </w:rPr>
  </w:style>
  <w:style w:type="character" w:customStyle="1" w:styleId="Teksttreci25">
    <w:name w:val="Tekst treści + 25"/>
    <w:aliases w:val="5 pt3"/>
    <w:uiPriority w:val="99"/>
    <w:rsid w:val="00302839"/>
    <w:rPr>
      <w:rFonts w:ascii="Calibri" w:hAnsi="Calibri" w:cs="Calibri"/>
      <w:noProof/>
      <w:sz w:val="51"/>
      <w:szCs w:val="51"/>
      <w:u w:val="none"/>
      <w:shd w:val="clear" w:color="auto" w:fill="FFFFFF"/>
    </w:rPr>
  </w:style>
  <w:style w:type="character" w:customStyle="1" w:styleId="tytul22">
    <w:name w:val="tytul22"/>
    <w:basedOn w:val="Domylnaczcionkaakapitu"/>
    <w:rsid w:val="00ED766B"/>
  </w:style>
  <w:style w:type="character" w:customStyle="1" w:styleId="Nagwek4">
    <w:name w:val="Nagłówek #4_"/>
    <w:link w:val="Nagwek40"/>
    <w:uiPriority w:val="99"/>
    <w:rsid w:val="00D251C3"/>
    <w:rPr>
      <w:rFonts w:cs="Calibri"/>
      <w:b/>
      <w:bCs/>
      <w:sz w:val="22"/>
      <w:szCs w:val="22"/>
      <w:shd w:val="clear" w:color="auto" w:fill="FFFFFF"/>
    </w:rPr>
  </w:style>
  <w:style w:type="paragraph" w:customStyle="1" w:styleId="Nagwek40">
    <w:name w:val="Nagłówek #4"/>
    <w:basedOn w:val="Normalny"/>
    <w:link w:val="Nagwek4"/>
    <w:uiPriority w:val="99"/>
    <w:rsid w:val="00D251C3"/>
    <w:pPr>
      <w:widowControl w:val="0"/>
      <w:shd w:val="clear" w:color="auto" w:fill="FFFFFF"/>
      <w:spacing w:before="240" w:after="0" w:line="302" w:lineRule="exact"/>
      <w:jc w:val="both"/>
      <w:outlineLvl w:val="3"/>
    </w:pPr>
    <w:rPr>
      <w:b/>
      <w:bCs/>
      <w:lang w:val="x-none" w:eastAsia="x-none"/>
    </w:rPr>
  </w:style>
  <w:style w:type="character" w:customStyle="1" w:styleId="TeksttreciPogrubienie2">
    <w:name w:val="Tekst treści + Pogrubienie2"/>
    <w:uiPriority w:val="99"/>
    <w:rsid w:val="00301ACD"/>
    <w:rPr>
      <w:rFonts w:ascii="Times New Roman" w:hAnsi="Times New Roman" w:cs="Times New Roman"/>
      <w:b/>
      <w:bCs/>
      <w:sz w:val="23"/>
      <w:szCs w:val="23"/>
      <w:u w:val="none"/>
      <w:shd w:val="clear" w:color="auto" w:fill="FFFFFF"/>
    </w:rPr>
  </w:style>
  <w:style w:type="character" w:customStyle="1" w:styleId="Teksttreci6Exact">
    <w:name w:val="Tekst treści (6) Exact"/>
    <w:uiPriority w:val="99"/>
    <w:rsid w:val="00BA74F9"/>
    <w:rPr>
      <w:rFonts w:ascii="Times New Roman" w:hAnsi="Times New Roman" w:cs="Times New Roman"/>
      <w:b/>
      <w:bCs/>
      <w:spacing w:val="-14"/>
      <w:sz w:val="25"/>
      <w:szCs w:val="25"/>
      <w:u w:val="none"/>
    </w:rPr>
  </w:style>
  <w:style w:type="character" w:styleId="Pogrubienie">
    <w:name w:val="Strong"/>
    <w:aliases w:val="Tekst treści + 12 pt,Kursywa2,Odstępy 0 pt3"/>
    <w:uiPriority w:val="99"/>
    <w:qFormat/>
    <w:rsid w:val="00BA74F9"/>
    <w:rPr>
      <w:rFonts w:ascii="Times New Roman" w:hAnsi="Times New Roman" w:cs="Times New Roman"/>
      <w:b/>
      <w:bCs/>
      <w:i/>
      <w:iCs/>
      <w:spacing w:val="0"/>
      <w:sz w:val="24"/>
      <w:szCs w:val="24"/>
      <w:u w:val="none"/>
      <w:shd w:val="clear" w:color="auto" w:fill="FFFFFF"/>
      <w:lang w:val="de-DE" w:eastAsia="de-DE"/>
    </w:rPr>
  </w:style>
  <w:style w:type="character" w:customStyle="1" w:styleId="TeksttreciKursywa1">
    <w:name w:val="Tekst treści + Kursywa1"/>
    <w:aliases w:val="Odstępy 0 pt2"/>
    <w:uiPriority w:val="99"/>
    <w:rsid w:val="00BA74F9"/>
    <w:rPr>
      <w:rFonts w:ascii="Times New Roman" w:hAnsi="Times New Roman" w:cs="Times New Roman"/>
      <w:i/>
      <w:iCs/>
      <w:spacing w:val="0"/>
      <w:sz w:val="25"/>
      <w:szCs w:val="25"/>
      <w:u w:val="none"/>
      <w:shd w:val="clear" w:color="auto" w:fill="FFFFFF"/>
      <w:lang w:val="en-US" w:eastAsia="en-US"/>
    </w:rPr>
  </w:style>
  <w:style w:type="character" w:customStyle="1" w:styleId="txt-new">
    <w:name w:val="txt-new"/>
    <w:basedOn w:val="Domylnaczcionkaakapitu"/>
    <w:rsid w:val="00E32D36"/>
  </w:style>
  <w:style w:type="paragraph" w:customStyle="1" w:styleId="ODNONIKtreodnonika">
    <w:name w:val="ODNOŚNIK – treść odnośnika"/>
    <w:rsid w:val="0097079B"/>
    <w:pPr>
      <w:ind w:left="284" w:hanging="284"/>
      <w:jc w:val="both"/>
    </w:pPr>
    <w:rPr>
      <w:rFonts w:ascii="Times New Roman" w:eastAsia="Times New Roman" w:hAnsi="Times New Roman" w:cs="Arial"/>
    </w:rPr>
  </w:style>
  <w:style w:type="paragraph" w:styleId="Bezodstpw">
    <w:name w:val="No Spacing"/>
    <w:uiPriority w:val="1"/>
    <w:qFormat/>
    <w:rsid w:val="00957F2D"/>
    <w:rPr>
      <w:sz w:val="22"/>
      <w:szCs w:val="22"/>
      <w:lang w:eastAsia="en-US"/>
    </w:rPr>
  </w:style>
  <w:style w:type="paragraph" w:customStyle="1" w:styleId="ARTartustawynprozporzdzenia">
    <w:name w:val="ART(§) – art. ustawy (§ np. rozporządzenia)"/>
    <w:uiPriority w:val="11"/>
    <w:qFormat/>
    <w:rsid w:val="005C6528"/>
    <w:pPr>
      <w:suppressAutoHyphens/>
      <w:autoSpaceDE w:val="0"/>
      <w:autoSpaceDN w:val="0"/>
      <w:adjustRightInd w:val="0"/>
      <w:spacing w:before="120" w:line="360" w:lineRule="auto"/>
      <w:ind w:firstLine="510"/>
      <w:jc w:val="both"/>
    </w:pPr>
    <w:rPr>
      <w:rFonts w:ascii="Times" w:eastAsia="Times New Roman" w:hAnsi="Times" w:cs="Arial"/>
      <w:sz w:val="24"/>
    </w:rPr>
  </w:style>
  <w:style w:type="paragraph" w:customStyle="1" w:styleId="SKARNsankcjakarnawszczeglnociwKodeksiekarnym">
    <w:name w:val="S_KARN – sankcja karna w szczególności w Kodeksie karnym"/>
    <w:basedOn w:val="USTustnpkodeksu"/>
    <w:next w:val="ARTartustawynprozporzdzenia"/>
    <w:rsid w:val="00A81D63"/>
    <w:pPr>
      <w:ind w:left="510" w:firstLine="0"/>
    </w:pPr>
  </w:style>
  <w:style w:type="paragraph" w:customStyle="1" w:styleId="ZPKTzmpktartykuempunktem">
    <w:name w:val="Z/PKT – zm. pkt artykułem (punktem)"/>
    <w:basedOn w:val="PKTpunkt"/>
    <w:rsid w:val="00442C7C"/>
    <w:pPr>
      <w:ind w:left="1020"/>
    </w:pPr>
  </w:style>
  <w:style w:type="paragraph" w:customStyle="1" w:styleId="ZLITzmlitartykuempunktem">
    <w:name w:val="Z/LIT – zm. lit. artykułem (punktem)"/>
    <w:basedOn w:val="LITlitera"/>
    <w:rsid w:val="00442C7C"/>
  </w:style>
  <w:style w:type="character" w:customStyle="1" w:styleId="Teksttreci7pt">
    <w:name w:val="Tekst treści + 7 pt"/>
    <w:uiPriority w:val="99"/>
    <w:rsid w:val="001E132F"/>
    <w:rPr>
      <w:rFonts w:ascii="Lucida Sans Unicode" w:hAnsi="Lucida Sans Unicode" w:cs="Lucida Sans Unicode"/>
      <w:sz w:val="14"/>
      <w:szCs w:val="14"/>
      <w:u w:val="none"/>
      <w:shd w:val="clear" w:color="auto" w:fill="FFFFFF"/>
    </w:rPr>
  </w:style>
  <w:style w:type="character" w:customStyle="1" w:styleId="Teksttreci10pt">
    <w:name w:val="Tekst treści + 10 pt"/>
    <w:uiPriority w:val="99"/>
    <w:rsid w:val="00F315EC"/>
    <w:rPr>
      <w:rFonts w:ascii="Times New Roman" w:hAnsi="Times New Roman" w:cs="Times New Roman"/>
      <w:color w:val="1E1E1E"/>
      <w:sz w:val="20"/>
      <w:szCs w:val="20"/>
      <w:u w:val="none"/>
      <w:shd w:val="clear" w:color="auto" w:fill="FFFFFF"/>
    </w:rPr>
  </w:style>
  <w:style w:type="character" w:customStyle="1" w:styleId="st">
    <w:name w:val="st"/>
    <w:rsid w:val="00D734A5"/>
  </w:style>
  <w:style w:type="character" w:customStyle="1" w:styleId="alb">
    <w:name w:val="a_lb"/>
    <w:basedOn w:val="Domylnaczcionkaakapitu"/>
    <w:rsid w:val="00EF1942"/>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BC2CE2"/>
    <w:rPr>
      <w:bCs/>
    </w:rPr>
  </w:style>
  <w:style w:type="paragraph" w:styleId="Tekstprzypisukocowego">
    <w:name w:val="endnote text"/>
    <w:basedOn w:val="Normalny"/>
    <w:link w:val="TekstprzypisukocowegoZnak"/>
    <w:uiPriority w:val="99"/>
    <w:semiHidden/>
    <w:unhideWhenUsed/>
    <w:rsid w:val="00D131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13123"/>
    <w:rPr>
      <w:lang w:eastAsia="en-US"/>
    </w:rPr>
  </w:style>
  <w:style w:type="character" w:styleId="Odwoanieprzypisukocowego">
    <w:name w:val="endnote reference"/>
    <w:basedOn w:val="Domylnaczcionkaakapitu"/>
    <w:uiPriority w:val="99"/>
    <w:semiHidden/>
    <w:unhideWhenUsed/>
    <w:rsid w:val="00D13123"/>
    <w:rPr>
      <w:vertAlign w:val="superscript"/>
    </w:rPr>
  </w:style>
  <w:style w:type="character" w:customStyle="1" w:styleId="Teksttreci95pt">
    <w:name w:val="Tekst treści + 9;5 pt"/>
    <w:basedOn w:val="Teksttreci"/>
    <w:rsid w:val="00F7251A"/>
    <w:rPr>
      <w:rFonts w:ascii="Times New Roman" w:eastAsia="Times New Roman" w:hAnsi="Times New Roman" w:cs="Times New Roman"/>
      <w:b w:val="0"/>
      <w:bCs w:val="0"/>
      <w:i w:val="0"/>
      <w:iCs w:val="0"/>
      <w:smallCaps w:val="0"/>
      <w:strike w:val="0"/>
      <w:color w:val="FF0000"/>
      <w:spacing w:val="0"/>
      <w:w w:val="100"/>
      <w:position w:val="0"/>
      <w:sz w:val="19"/>
      <w:szCs w:val="19"/>
      <w:u w:val="none"/>
      <w:shd w:val="clear" w:color="auto" w:fill="FFFFFF"/>
      <w:lang w:val="pl-PL" w:eastAsia="pl-PL" w:bidi="pl-PL"/>
    </w:rPr>
  </w:style>
  <w:style w:type="character" w:customStyle="1" w:styleId="Podpisobrazu0">
    <w:name w:val="Podpis obrazu_"/>
    <w:basedOn w:val="Domylnaczcionkaakapitu"/>
    <w:rsid w:val="00F7251A"/>
    <w:rPr>
      <w:rFonts w:ascii="Calibri" w:eastAsia="Calibri" w:hAnsi="Calibri" w:cs="Calibri"/>
      <w:b w:val="0"/>
      <w:bCs w:val="0"/>
      <w:i w:val="0"/>
      <w:iCs w:val="0"/>
      <w:smallCaps w:val="0"/>
      <w:strike w:val="0"/>
      <w:sz w:val="15"/>
      <w:szCs w:val="15"/>
      <w:u w:val="none"/>
    </w:rPr>
  </w:style>
  <w:style w:type="table" w:customStyle="1" w:styleId="Tabela-Siatka2">
    <w:name w:val="Tabela - Siatka2"/>
    <w:basedOn w:val="Standardowy"/>
    <w:next w:val="Tabela-Siatka"/>
    <w:uiPriority w:val="39"/>
    <w:rsid w:val="006949A8"/>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ny"/>
    <w:rsid w:val="00AA265D"/>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f01">
    <w:name w:val="cf01"/>
    <w:basedOn w:val="Domylnaczcionkaakapitu"/>
    <w:rsid w:val="00AA265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9561">
      <w:bodyDiv w:val="1"/>
      <w:marLeft w:val="0"/>
      <w:marRight w:val="0"/>
      <w:marTop w:val="0"/>
      <w:marBottom w:val="0"/>
      <w:divBdr>
        <w:top w:val="none" w:sz="0" w:space="0" w:color="auto"/>
        <w:left w:val="none" w:sz="0" w:space="0" w:color="auto"/>
        <w:bottom w:val="none" w:sz="0" w:space="0" w:color="auto"/>
        <w:right w:val="none" w:sz="0" w:space="0" w:color="auto"/>
      </w:divBdr>
    </w:div>
    <w:div w:id="35814646">
      <w:bodyDiv w:val="1"/>
      <w:marLeft w:val="0"/>
      <w:marRight w:val="0"/>
      <w:marTop w:val="0"/>
      <w:marBottom w:val="0"/>
      <w:divBdr>
        <w:top w:val="none" w:sz="0" w:space="0" w:color="auto"/>
        <w:left w:val="none" w:sz="0" w:space="0" w:color="auto"/>
        <w:bottom w:val="none" w:sz="0" w:space="0" w:color="auto"/>
        <w:right w:val="none" w:sz="0" w:space="0" w:color="auto"/>
      </w:divBdr>
    </w:div>
    <w:div w:id="78141043">
      <w:bodyDiv w:val="1"/>
      <w:marLeft w:val="0"/>
      <w:marRight w:val="0"/>
      <w:marTop w:val="0"/>
      <w:marBottom w:val="0"/>
      <w:divBdr>
        <w:top w:val="none" w:sz="0" w:space="0" w:color="auto"/>
        <w:left w:val="none" w:sz="0" w:space="0" w:color="auto"/>
        <w:bottom w:val="none" w:sz="0" w:space="0" w:color="auto"/>
        <w:right w:val="none" w:sz="0" w:space="0" w:color="auto"/>
      </w:divBdr>
    </w:div>
    <w:div w:id="82528542">
      <w:bodyDiv w:val="1"/>
      <w:marLeft w:val="0"/>
      <w:marRight w:val="0"/>
      <w:marTop w:val="0"/>
      <w:marBottom w:val="0"/>
      <w:divBdr>
        <w:top w:val="none" w:sz="0" w:space="0" w:color="auto"/>
        <w:left w:val="none" w:sz="0" w:space="0" w:color="auto"/>
        <w:bottom w:val="none" w:sz="0" w:space="0" w:color="auto"/>
        <w:right w:val="none" w:sz="0" w:space="0" w:color="auto"/>
      </w:divBdr>
    </w:div>
    <w:div w:id="129789123">
      <w:bodyDiv w:val="1"/>
      <w:marLeft w:val="0"/>
      <w:marRight w:val="0"/>
      <w:marTop w:val="0"/>
      <w:marBottom w:val="0"/>
      <w:divBdr>
        <w:top w:val="none" w:sz="0" w:space="0" w:color="auto"/>
        <w:left w:val="none" w:sz="0" w:space="0" w:color="auto"/>
        <w:bottom w:val="none" w:sz="0" w:space="0" w:color="auto"/>
        <w:right w:val="none" w:sz="0" w:space="0" w:color="auto"/>
      </w:divBdr>
    </w:div>
    <w:div w:id="139007864">
      <w:bodyDiv w:val="1"/>
      <w:marLeft w:val="0"/>
      <w:marRight w:val="0"/>
      <w:marTop w:val="0"/>
      <w:marBottom w:val="0"/>
      <w:divBdr>
        <w:top w:val="none" w:sz="0" w:space="0" w:color="auto"/>
        <w:left w:val="none" w:sz="0" w:space="0" w:color="auto"/>
        <w:bottom w:val="none" w:sz="0" w:space="0" w:color="auto"/>
        <w:right w:val="none" w:sz="0" w:space="0" w:color="auto"/>
      </w:divBdr>
    </w:div>
    <w:div w:id="185025742">
      <w:bodyDiv w:val="1"/>
      <w:marLeft w:val="0"/>
      <w:marRight w:val="0"/>
      <w:marTop w:val="0"/>
      <w:marBottom w:val="0"/>
      <w:divBdr>
        <w:top w:val="none" w:sz="0" w:space="0" w:color="auto"/>
        <w:left w:val="none" w:sz="0" w:space="0" w:color="auto"/>
        <w:bottom w:val="none" w:sz="0" w:space="0" w:color="auto"/>
        <w:right w:val="none" w:sz="0" w:space="0" w:color="auto"/>
      </w:divBdr>
    </w:div>
    <w:div w:id="192115366">
      <w:bodyDiv w:val="1"/>
      <w:marLeft w:val="0"/>
      <w:marRight w:val="0"/>
      <w:marTop w:val="0"/>
      <w:marBottom w:val="0"/>
      <w:divBdr>
        <w:top w:val="none" w:sz="0" w:space="0" w:color="auto"/>
        <w:left w:val="none" w:sz="0" w:space="0" w:color="auto"/>
        <w:bottom w:val="none" w:sz="0" w:space="0" w:color="auto"/>
        <w:right w:val="none" w:sz="0" w:space="0" w:color="auto"/>
      </w:divBdr>
    </w:div>
    <w:div w:id="206643989">
      <w:bodyDiv w:val="1"/>
      <w:marLeft w:val="0"/>
      <w:marRight w:val="0"/>
      <w:marTop w:val="0"/>
      <w:marBottom w:val="0"/>
      <w:divBdr>
        <w:top w:val="none" w:sz="0" w:space="0" w:color="auto"/>
        <w:left w:val="none" w:sz="0" w:space="0" w:color="auto"/>
        <w:bottom w:val="none" w:sz="0" w:space="0" w:color="auto"/>
        <w:right w:val="none" w:sz="0" w:space="0" w:color="auto"/>
      </w:divBdr>
    </w:div>
    <w:div w:id="238564594">
      <w:bodyDiv w:val="1"/>
      <w:marLeft w:val="0"/>
      <w:marRight w:val="0"/>
      <w:marTop w:val="0"/>
      <w:marBottom w:val="0"/>
      <w:divBdr>
        <w:top w:val="none" w:sz="0" w:space="0" w:color="auto"/>
        <w:left w:val="none" w:sz="0" w:space="0" w:color="auto"/>
        <w:bottom w:val="none" w:sz="0" w:space="0" w:color="auto"/>
        <w:right w:val="none" w:sz="0" w:space="0" w:color="auto"/>
      </w:divBdr>
    </w:div>
    <w:div w:id="308169997">
      <w:bodyDiv w:val="1"/>
      <w:marLeft w:val="0"/>
      <w:marRight w:val="0"/>
      <w:marTop w:val="0"/>
      <w:marBottom w:val="0"/>
      <w:divBdr>
        <w:top w:val="none" w:sz="0" w:space="0" w:color="auto"/>
        <w:left w:val="none" w:sz="0" w:space="0" w:color="auto"/>
        <w:bottom w:val="none" w:sz="0" w:space="0" w:color="auto"/>
        <w:right w:val="none" w:sz="0" w:space="0" w:color="auto"/>
      </w:divBdr>
    </w:div>
    <w:div w:id="342586676">
      <w:bodyDiv w:val="1"/>
      <w:marLeft w:val="0"/>
      <w:marRight w:val="0"/>
      <w:marTop w:val="0"/>
      <w:marBottom w:val="0"/>
      <w:divBdr>
        <w:top w:val="none" w:sz="0" w:space="0" w:color="auto"/>
        <w:left w:val="none" w:sz="0" w:space="0" w:color="auto"/>
        <w:bottom w:val="none" w:sz="0" w:space="0" w:color="auto"/>
        <w:right w:val="none" w:sz="0" w:space="0" w:color="auto"/>
      </w:divBdr>
    </w:div>
    <w:div w:id="374812923">
      <w:bodyDiv w:val="1"/>
      <w:marLeft w:val="0"/>
      <w:marRight w:val="0"/>
      <w:marTop w:val="0"/>
      <w:marBottom w:val="0"/>
      <w:divBdr>
        <w:top w:val="none" w:sz="0" w:space="0" w:color="auto"/>
        <w:left w:val="none" w:sz="0" w:space="0" w:color="auto"/>
        <w:bottom w:val="none" w:sz="0" w:space="0" w:color="auto"/>
        <w:right w:val="none" w:sz="0" w:space="0" w:color="auto"/>
      </w:divBdr>
    </w:div>
    <w:div w:id="386220380">
      <w:bodyDiv w:val="1"/>
      <w:marLeft w:val="0"/>
      <w:marRight w:val="0"/>
      <w:marTop w:val="0"/>
      <w:marBottom w:val="0"/>
      <w:divBdr>
        <w:top w:val="none" w:sz="0" w:space="0" w:color="auto"/>
        <w:left w:val="none" w:sz="0" w:space="0" w:color="auto"/>
        <w:bottom w:val="none" w:sz="0" w:space="0" w:color="auto"/>
        <w:right w:val="none" w:sz="0" w:space="0" w:color="auto"/>
      </w:divBdr>
    </w:div>
    <w:div w:id="460466425">
      <w:bodyDiv w:val="1"/>
      <w:marLeft w:val="0"/>
      <w:marRight w:val="0"/>
      <w:marTop w:val="0"/>
      <w:marBottom w:val="0"/>
      <w:divBdr>
        <w:top w:val="none" w:sz="0" w:space="0" w:color="auto"/>
        <w:left w:val="none" w:sz="0" w:space="0" w:color="auto"/>
        <w:bottom w:val="none" w:sz="0" w:space="0" w:color="auto"/>
        <w:right w:val="none" w:sz="0" w:space="0" w:color="auto"/>
      </w:divBdr>
    </w:div>
    <w:div w:id="489489970">
      <w:bodyDiv w:val="1"/>
      <w:marLeft w:val="0"/>
      <w:marRight w:val="0"/>
      <w:marTop w:val="0"/>
      <w:marBottom w:val="0"/>
      <w:divBdr>
        <w:top w:val="none" w:sz="0" w:space="0" w:color="auto"/>
        <w:left w:val="none" w:sz="0" w:space="0" w:color="auto"/>
        <w:bottom w:val="none" w:sz="0" w:space="0" w:color="auto"/>
        <w:right w:val="none" w:sz="0" w:space="0" w:color="auto"/>
      </w:divBdr>
    </w:div>
    <w:div w:id="499660295">
      <w:bodyDiv w:val="1"/>
      <w:marLeft w:val="0"/>
      <w:marRight w:val="0"/>
      <w:marTop w:val="0"/>
      <w:marBottom w:val="0"/>
      <w:divBdr>
        <w:top w:val="none" w:sz="0" w:space="0" w:color="auto"/>
        <w:left w:val="none" w:sz="0" w:space="0" w:color="auto"/>
        <w:bottom w:val="none" w:sz="0" w:space="0" w:color="auto"/>
        <w:right w:val="none" w:sz="0" w:space="0" w:color="auto"/>
      </w:divBdr>
    </w:div>
    <w:div w:id="503470518">
      <w:bodyDiv w:val="1"/>
      <w:marLeft w:val="0"/>
      <w:marRight w:val="0"/>
      <w:marTop w:val="0"/>
      <w:marBottom w:val="0"/>
      <w:divBdr>
        <w:top w:val="none" w:sz="0" w:space="0" w:color="auto"/>
        <w:left w:val="none" w:sz="0" w:space="0" w:color="auto"/>
        <w:bottom w:val="none" w:sz="0" w:space="0" w:color="auto"/>
        <w:right w:val="none" w:sz="0" w:space="0" w:color="auto"/>
      </w:divBdr>
    </w:div>
    <w:div w:id="528103047">
      <w:bodyDiv w:val="1"/>
      <w:marLeft w:val="0"/>
      <w:marRight w:val="0"/>
      <w:marTop w:val="0"/>
      <w:marBottom w:val="0"/>
      <w:divBdr>
        <w:top w:val="none" w:sz="0" w:space="0" w:color="auto"/>
        <w:left w:val="none" w:sz="0" w:space="0" w:color="auto"/>
        <w:bottom w:val="none" w:sz="0" w:space="0" w:color="auto"/>
        <w:right w:val="none" w:sz="0" w:space="0" w:color="auto"/>
      </w:divBdr>
    </w:div>
    <w:div w:id="559176180">
      <w:bodyDiv w:val="1"/>
      <w:marLeft w:val="0"/>
      <w:marRight w:val="0"/>
      <w:marTop w:val="0"/>
      <w:marBottom w:val="0"/>
      <w:divBdr>
        <w:top w:val="none" w:sz="0" w:space="0" w:color="auto"/>
        <w:left w:val="none" w:sz="0" w:space="0" w:color="auto"/>
        <w:bottom w:val="none" w:sz="0" w:space="0" w:color="auto"/>
        <w:right w:val="none" w:sz="0" w:space="0" w:color="auto"/>
      </w:divBdr>
    </w:div>
    <w:div w:id="585117928">
      <w:bodyDiv w:val="1"/>
      <w:marLeft w:val="0"/>
      <w:marRight w:val="0"/>
      <w:marTop w:val="0"/>
      <w:marBottom w:val="0"/>
      <w:divBdr>
        <w:top w:val="none" w:sz="0" w:space="0" w:color="auto"/>
        <w:left w:val="none" w:sz="0" w:space="0" w:color="auto"/>
        <w:bottom w:val="none" w:sz="0" w:space="0" w:color="auto"/>
        <w:right w:val="none" w:sz="0" w:space="0" w:color="auto"/>
      </w:divBdr>
    </w:div>
    <w:div w:id="636029892">
      <w:bodyDiv w:val="1"/>
      <w:marLeft w:val="0"/>
      <w:marRight w:val="0"/>
      <w:marTop w:val="0"/>
      <w:marBottom w:val="0"/>
      <w:divBdr>
        <w:top w:val="none" w:sz="0" w:space="0" w:color="auto"/>
        <w:left w:val="none" w:sz="0" w:space="0" w:color="auto"/>
        <w:bottom w:val="none" w:sz="0" w:space="0" w:color="auto"/>
        <w:right w:val="none" w:sz="0" w:space="0" w:color="auto"/>
      </w:divBdr>
    </w:div>
    <w:div w:id="653679184">
      <w:bodyDiv w:val="1"/>
      <w:marLeft w:val="0"/>
      <w:marRight w:val="0"/>
      <w:marTop w:val="0"/>
      <w:marBottom w:val="0"/>
      <w:divBdr>
        <w:top w:val="none" w:sz="0" w:space="0" w:color="auto"/>
        <w:left w:val="none" w:sz="0" w:space="0" w:color="auto"/>
        <w:bottom w:val="none" w:sz="0" w:space="0" w:color="auto"/>
        <w:right w:val="none" w:sz="0" w:space="0" w:color="auto"/>
      </w:divBdr>
    </w:div>
    <w:div w:id="657807039">
      <w:bodyDiv w:val="1"/>
      <w:marLeft w:val="0"/>
      <w:marRight w:val="0"/>
      <w:marTop w:val="0"/>
      <w:marBottom w:val="0"/>
      <w:divBdr>
        <w:top w:val="none" w:sz="0" w:space="0" w:color="auto"/>
        <w:left w:val="none" w:sz="0" w:space="0" w:color="auto"/>
        <w:bottom w:val="none" w:sz="0" w:space="0" w:color="auto"/>
        <w:right w:val="none" w:sz="0" w:space="0" w:color="auto"/>
      </w:divBdr>
    </w:div>
    <w:div w:id="664018561">
      <w:bodyDiv w:val="1"/>
      <w:marLeft w:val="0"/>
      <w:marRight w:val="0"/>
      <w:marTop w:val="0"/>
      <w:marBottom w:val="0"/>
      <w:divBdr>
        <w:top w:val="none" w:sz="0" w:space="0" w:color="auto"/>
        <w:left w:val="none" w:sz="0" w:space="0" w:color="auto"/>
        <w:bottom w:val="none" w:sz="0" w:space="0" w:color="auto"/>
        <w:right w:val="none" w:sz="0" w:space="0" w:color="auto"/>
      </w:divBdr>
    </w:div>
    <w:div w:id="782652154">
      <w:bodyDiv w:val="1"/>
      <w:marLeft w:val="0"/>
      <w:marRight w:val="0"/>
      <w:marTop w:val="0"/>
      <w:marBottom w:val="0"/>
      <w:divBdr>
        <w:top w:val="none" w:sz="0" w:space="0" w:color="auto"/>
        <w:left w:val="none" w:sz="0" w:space="0" w:color="auto"/>
        <w:bottom w:val="none" w:sz="0" w:space="0" w:color="auto"/>
        <w:right w:val="none" w:sz="0" w:space="0" w:color="auto"/>
      </w:divBdr>
    </w:div>
    <w:div w:id="833453965">
      <w:bodyDiv w:val="1"/>
      <w:marLeft w:val="0"/>
      <w:marRight w:val="0"/>
      <w:marTop w:val="0"/>
      <w:marBottom w:val="0"/>
      <w:divBdr>
        <w:top w:val="none" w:sz="0" w:space="0" w:color="auto"/>
        <w:left w:val="none" w:sz="0" w:space="0" w:color="auto"/>
        <w:bottom w:val="none" w:sz="0" w:space="0" w:color="auto"/>
        <w:right w:val="none" w:sz="0" w:space="0" w:color="auto"/>
      </w:divBdr>
    </w:div>
    <w:div w:id="849871771">
      <w:bodyDiv w:val="1"/>
      <w:marLeft w:val="0"/>
      <w:marRight w:val="0"/>
      <w:marTop w:val="0"/>
      <w:marBottom w:val="0"/>
      <w:divBdr>
        <w:top w:val="none" w:sz="0" w:space="0" w:color="auto"/>
        <w:left w:val="none" w:sz="0" w:space="0" w:color="auto"/>
        <w:bottom w:val="none" w:sz="0" w:space="0" w:color="auto"/>
        <w:right w:val="none" w:sz="0" w:space="0" w:color="auto"/>
      </w:divBdr>
    </w:div>
    <w:div w:id="909196794">
      <w:bodyDiv w:val="1"/>
      <w:marLeft w:val="0"/>
      <w:marRight w:val="0"/>
      <w:marTop w:val="0"/>
      <w:marBottom w:val="0"/>
      <w:divBdr>
        <w:top w:val="none" w:sz="0" w:space="0" w:color="auto"/>
        <w:left w:val="none" w:sz="0" w:space="0" w:color="auto"/>
        <w:bottom w:val="none" w:sz="0" w:space="0" w:color="auto"/>
        <w:right w:val="none" w:sz="0" w:space="0" w:color="auto"/>
      </w:divBdr>
      <w:divsChild>
        <w:div w:id="1480807181">
          <w:marLeft w:val="0"/>
          <w:marRight w:val="0"/>
          <w:marTop w:val="0"/>
          <w:marBottom w:val="0"/>
          <w:divBdr>
            <w:top w:val="none" w:sz="0" w:space="0" w:color="auto"/>
            <w:left w:val="none" w:sz="0" w:space="0" w:color="auto"/>
            <w:bottom w:val="none" w:sz="0" w:space="0" w:color="auto"/>
            <w:right w:val="none" w:sz="0" w:space="0" w:color="auto"/>
          </w:divBdr>
          <w:divsChild>
            <w:div w:id="1993480166">
              <w:marLeft w:val="0"/>
              <w:marRight w:val="0"/>
              <w:marTop w:val="0"/>
              <w:marBottom w:val="0"/>
              <w:divBdr>
                <w:top w:val="none" w:sz="0" w:space="0" w:color="auto"/>
                <w:left w:val="none" w:sz="0" w:space="0" w:color="auto"/>
                <w:bottom w:val="none" w:sz="0" w:space="0" w:color="auto"/>
                <w:right w:val="none" w:sz="0" w:space="0" w:color="auto"/>
              </w:divBdr>
              <w:divsChild>
                <w:div w:id="394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88248">
      <w:bodyDiv w:val="1"/>
      <w:marLeft w:val="0"/>
      <w:marRight w:val="0"/>
      <w:marTop w:val="0"/>
      <w:marBottom w:val="0"/>
      <w:divBdr>
        <w:top w:val="none" w:sz="0" w:space="0" w:color="auto"/>
        <w:left w:val="none" w:sz="0" w:space="0" w:color="auto"/>
        <w:bottom w:val="none" w:sz="0" w:space="0" w:color="auto"/>
        <w:right w:val="none" w:sz="0" w:space="0" w:color="auto"/>
      </w:divBdr>
    </w:div>
    <w:div w:id="928390795">
      <w:bodyDiv w:val="1"/>
      <w:marLeft w:val="0"/>
      <w:marRight w:val="0"/>
      <w:marTop w:val="0"/>
      <w:marBottom w:val="0"/>
      <w:divBdr>
        <w:top w:val="none" w:sz="0" w:space="0" w:color="auto"/>
        <w:left w:val="none" w:sz="0" w:space="0" w:color="auto"/>
        <w:bottom w:val="none" w:sz="0" w:space="0" w:color="auto"/>
        <w:right w:val="none" w:sz="0" w:space="0" w:color="auto"/>
      </w:divBdr>
    </w:div>
    <w:div w:id="956133109">
      <w:bodyDiv w:val="1"/>
      <w:marLeft w:val="0"/>
      <w:marRight w:val="0"/>
      <w:marTop w:val="0"/>
      <w:marBottom w:val="0"/>
      <w:divBdr>
        <w:top w:val="none" w:sz="0" w:space="0" w:color="auto"/>
        <w:left w:val="none" w:sz="0" w:space="0" w:color="auto"/>
        <w:bottom w:val="none" w:sz="0" w:space="0" w:color="auto"/>
        <w:right w:val="none" w:sz="0" w:space="0" w:color="auto"/>
      </w:divBdr>
    </w:div>
    <w:div w:id="1002203517">
      <w:bodyDiv w:val="1"/>
      <w:marLeft w:val="0"/>
      <w:marRight w:val="0"/>
      <w:marTop w:val="0"/>
      <w:marBottom w:val="0"/>
      <w:divBdr>
        <w:top w:val="none" w:sz="0" w:space="0" w:color="auto"/>
        <w:left w:val="none" w:sz="0" w:space="0" w:color="auto"/>
        <w:bottom w:val="none" w:sz="0" w:space="0" w:color="auto"/>
        <w:right w:val="none" w:sz="0" w:space="0" w:color="auto"/>
      </w:divBdr>
    </w:div>
    <w:div w:id="1030301744">
      <w:bodyDiv w:val="1"/>
      <w:marLeft w:val="0"/>
      <w:marRight w:val="0"/>
      <w:marTop w:val="360"/>
      <w:marBottom w:val="360"/>
      <w:divBdr>
        <w:top w:val="none" w:sz="0" w:space="0" w:color="auto"/>
        <w:left w:val="none" w:sz="0" w:space="0" w:color="auto"/>
        <w:bottom w:val="none" w:sz="0" w:space="0" w:color="auto"/>
        <w:right w:val="none" w:sz="0" w:space="0" w:color="auto"/>
      </w:divBdr>
      <w:divsChild>
        <w:div w:id="136460817">
          <w:marLeft w:val="0"/>
          <w:marRight w:val="0"/>
          <w:marTop w:val="300"/>
          <w:marBottom w:val="0"/>
          <w:divBdr>
            <w:top w:val="none" w:sz="0" w:space="0" w:color="auto"/>
            <w:left w:val="none" w:sz="0" w:space="0" w:color="auto"/>
            <w:bottom w:val="none" w:sz="0" w:space="0" w:color="auto"/>
            <w:right w:val="none" w:sz="0" w:space="0" w:color="auto"/>
          </w:divBdr>
        </w:div>
      </w:divsChild>
    </w:div>
    <w:div w:id="1032995569">
      <w:bodyDiv w:val="1"/>
      <w:marLeft w:val="0"/>
      <w:marRight w:val="0"/>
      <w:marTop w:val="0"/>
      <w:marBottom w:val="0"/>
      <w:divBdr>
        <w:top w:val="none" w:sz="0" w:space="0" w:color="auto"/>
        <w:left w:val="none" w:sz="0" w:space="0" w:color="auto"/>
        <w:bottom w:val="none" w:sz="0" w:space="0" w:color="auto"/>
        <w:right w:val="none" w:sz="0" w:space="0" w:color="auto"/>
      </w:divBdr>
    </w:div>
    <w:div w:id="1043604325">
      <w:bodyDiv w:val="1"/>
      <w:marLeft w:val="0"/>
      <w:marRight w:val="0"/>
      <w:marTop w:val="0"/>
      <w:marBottom w:val="0"/>
      <w:divBdr>
        <w:top w:val="none" w:sz="0" w:space="0" w:color="auto"/>
        <w:left w:val="none" w:sz="0" w:space="0" w:color="auto"/>
        <w:bottom w:val="none" w:sz="0" w:space="0" w:color="auto"/>
        <w:right w:val="none" w:sz="0" w:space="0" w:color="auto"/>
      </w:divBdr>
    </w:div>
    <w:div w:id="1050419941">
      <w:bodyDiv w:val="1"/>
      <w:marLeft w:val="0"/>
      <w:marRight w:val="0"/>
      <w:marTop w:val="0"/>
      <w:marBottom w:val="0"/>
      <w:divBdr>
        <w:top w:val="none" w:sz="0" w:space="0" w:color="auto"/>
        <w:left w:val="none" w:sz="0" w:space="0" w:color="auto"/>
        <w:bottom w:val="none" w:sz="0" w:space="0" w:color="auto"/>
        <w:right w:val="none" w:sz="0" w:space="0" w:color="auto"/>
      </w:divBdr>
    </w:div>
    <w:div w:id="1165589373">
      <w:bodyDiv w:val="1"/>
      <w:marLeft w:val="0"/>
      <w:marRight w:val="0"/>
      <w:marTop w:val="0"/>
      <w:marBottom w:val="0"/>
      <w:divBdr>
        <w:top w:val="none" w:sz="0" w:space="0" w:color="auto"/>
        <w:left w:val="none" w:sz="0" w:space="0" w:color="auto"/>
        <w:bottom w:val="none" w:sz="0" w:space="0" w:color="auto"/>
        <w:right w:val="none" w:sz="0" w:space="0" w:color="auto"/>
      </w:divBdr>
    </w:div>
    <w:div w:id="1170408915">
      <w:bodyDiv w:val="1"/>
      <w:marLeft w:val="0"/>
      <w:marRight w:val="0"/>
      <w:marTop w:val="0"/>
      <w:marBottom w:val="0"/>
      <w:divBdr>
        <w:top w:val="none" w:sz="0" w:space="0" w:color="auto"/>
        <w:left w:val="none" w:sz="0" w:space="0" w:color="auto"/>
        <w:bottom w:val="none" w:sz="0" w:space="0" w:color="auto"/>
        <w:right w:val="none" w:sz="0" w:space="0" w:color="auto"/>
      </w:divBdr>
    </w:div>
    <w:div w:id="1257253178">
      <w:bodyDiv w:val="1"/>
      <w:marLeft w:val="0"/>
      <w:marRight w:val="0"/>
      <w:marTop w:val="0"/>
      <w:marBottom w:val="0"/>
      <w:divBdr>
        <w:top w:val="none" w:sz="0" w:space="0" w:color="auto"/>
        <w:left w:val="none" w:sz="0" w:space="0" w:color="auto"/>
        <w:bottom w:val="none" w:sz="0" w:space="0" w:color="auto"/>
        <w:right w:val="none" w:sz="0" w:space="0" w:color="auto"/>
      </w:divBdr>
    </w:div>
    <w:div w:id="1263535599">
      <w:bodyDiv w:val="1"/>
      <w:marLeft w:val="0"/>
      <w:marRight w:val="0"/>
      <w:marTop w:val="0"/>
      <w:marBottom w:val="0"/>
      <w:divBdr>
        <w:top w:val="none" w:sz="0" w:space="0" w:color="auto"/>
        <w:left w:val="none" w:sz="0" w:space="0" w:color="auto"/>
        <w:bottom w:val="none" w:sz="0" w:space="0" w:color="auto"/>
        <w:right w:val="none" w:sz="0" w:space="0" w:color="auto"/>
      </w:divBdr>
    </w:div>
    <w:div w:id="1270628010">
      <w:bodyDiv w:val="1"/>
      <w:marLeft w:val="0"/>
      <w:marRight w:val="0"/>
      <w:marTop w:val="0"/>
      <w:marBottom w:val="0"/>
      <w:divBdr>
        <w:top w:val="none" w:sz="0" w:space="0" w:color="auto"/>
        <w:left w:val="none" w:sz="0" w:space="0" w:color="auto"/>
        <w:bottom w:val="none" w:sz="0" w:space="0" w:color="auto"/>
        <w:right w:val="none" w:sz="0" w:space="0" w:color="auto"/>
      </w:divBdr>
    </w:div>
    <w:div w:id="1280261683">
      <w:bodyDiv w:val="1"/>
      <w:marLeft w:val="0"/>
      <w:marRight w:val="0"/>
      <w:marTop w:val="0"/>
      <w:marBottom w:val="0"/>
      <w:divBdr>
        <w:top w:val="none" w:sz="0" w:space="0" w:color="auto"/>
        <w:left w:val="none" w:sz="0" w:space="0" w:color="auto"/>
        <w:bottom w:val="none" w:sz="0" w:space="0" w:color="auto"/>
        <w:right w:val="none" w:sz="0" w:space="0" w:color="auto"/>
      </w:divBdr>
    </w:div>
    <w:div w:id="1349287606">
      <w:bodyDiv w:val="1"/>
      <w:marLeft w:val="0"/>
      <w:marRight w:val="0"/>
      <w:marTop w:val="0"/>
      <w:marBottom w:val="0"/>
      <w:divBdr>
        <w:top w:val="none" w:sz="0" w:space="0" w:color="auto"/>
        <w:left w:val="none" w:sz="0" w:space="0" w:color="auto"/>
        <w:bottom w:val="none" w:sz="0" w:space="0" w:color="auto"/>
        <w:right w:val="none" w:sz="0" w:space="0" w:color="auto"/>
      </w:divBdr>
    </w:div>
    <w:div w:id="1360204706">
      <w:bodyDiv w:val="1"/>
      <w:marLeft w:val="0"/>
      <w:marRight w:val="0"/>
      <w:marTop w:val="0"/>
      <w:marBottom w:val="0"/>
      <w:divBdr>
        <w:top w:val="none" w:sz="0" w:space="0" w:color="auto"/>
        <w:left w:val="none" w:sz="0" w:space="0" w:color="auto"/>
        <w:bottom w:val="none" w:sz="0" w:space="0" w:color="auto"/>
        <w:right w:val="none" w:sz="0" w:space="0" w:color="auto"/>
      </w:divBdr>
    </w:div>
    <w:div w:id="1404178676">
      <w:bodyDiv w:val="1"/>
      <w:marLeft w:val="0"/>
      <w:marRight w:val="0"/>
      <w:marTop w:val="0"/>
      <w:marBottom w:val="0"/>
      <w:divBdr>
        <w:top w:val="none" w:sz="0" w:space="0" w:color="auto"/>
        <w:left w:val="none" w:sz="0" w:space="0" w:color="auto"/>
        <w:bottom w:val="none" w:sz="0" w:space="0" w:color="auto"/>
        <w:right w:val="none" w:sz="0" w:space="0" w:color="auto"/>
      </w:divBdr>
    </w:div>
    <w:div w:id="1405835338">
      <w:bodyDiv w:val="1"/>
      <w:marLeft w:val="0"/>
      <w:marRight w:val="0"/>
      <w:marTop w:val="0"/>
      <w:marBottom w:val="0"/>
      <w:divBdr>
        <w:top w:val="none" w:sz="0" w:space="0" w:color="auto"/>
        <w:left w:val="none" w:sz="0" w:space="0" w:color="auto"/>
        <w:bottom w:val="none" w:sz="0" w:space="0" w:color="auto"/>
        <w:right w:val="none" w:sz="0" w:space="0" w:color="auto"/>
      </w:divBdr>
    </w:div>
    <w:div w:id="1416852951">
      <w:bodyDiv w:val="1"/>
      <w:marLeft w:val="0"/>
      <w:marRight w:val="0"/>
      <w:marTop w:val="0"/>
      <w:marBottom w:val="0"/>
      <w:divBdr>
        <w:top w:val="none" w:sz="0" w:space="0" w:color="auto"/>
        <w:left w:val="none" w:sz="0" w:space="0" w:color="auto"/>
        <w:bottom w:val="none" w:sz="0" w:space="0" w:color="auto"/>
        <w:right w:val="none" w:sz="0" w:space="0" w:color="auto"/>
      </w:divBdr>
    </w:div>
    <w:div w:id="1465200618">
      <w:bodyDiv w:val="1"/>
      <w:marLeft w:val="0"/>
      <w:marRight w:val="0"/>
      <w:marTop w:val="0"/>
      <w:marBottom w:val="0"/>
      <w:divBdr>
        <w:top w:val="none" w:sz="0" w:space="0" w:color="auto"/>
        <w:left w:val="none" w:sz="0" w:space="0" w:color="auto"/>
        <w:bottom w:val="none" w:sz="0" w:space="0" w:color="auto"/>
        <w:right w:val="none" w:sz="0" w:space="0" w:color="auto"/>
      </w:divBdr>
    </w:div>
    <w:div w:id="1502893987">
      <w:bodyDiv w:val="1"/>
      <w:marLeft w:val="0"/>
      <w:marRight w:val="0"/>
      <w:marTop w:val="0"/>
      <w:marBottom w:val="0"/>
      <w:divBdr>
        <w:top w:val="none" w:sz="0" w:space="0" w:color="auto"/>
        <w:left w:val="none" w:sz="0" w:space="0" w:color="auto"/>
        <w:bottom w:val="none" w:sz="0" w:space="0" w:color="auto"/>
        <w:right w:val="none" w:sz="0" w:space="0" w:color="auto"/>
      </w:divBdr>
    </w:div>
    <w:div w:id="1505585528">
      <w:bodyDiv w:val="1"/>
      <w:marLeft w:val="0"/>
      <w:marRight w:val="0"/>
      <w:marTop w:val="0"/>
      <w:marBottom w:val="0"/>
      <w:divBdr>
        <w:top w:val="none" w:sz="0" w:space="0" w:color="auto"/>
        <w:left w:val="none" w:sz="0" w:space="0" w:color="auto"/>
        <w:bottom w:val="none" w:sz="0" w:space="0" w:color="auto"/>
        <w:right w:val="none" w:sz="0" w:space="0" w:color="auto"/>
      </w:divBdr>
      <w:divsChild>
        <w:div w:id="1132674225">
          <w:marLeft w:val="0"/>
          <w:marRight w:val="0"/>
          <w:marTop w:val="0"/>
          <w:marBottom w:val="0"/>
          <w:divBdr>
            <w:top w:val="none" w:sz="0" w:space="0" w:color="auto"/>
            <w:left w:val="none" w:sz="0" w:space="0" w:color="auto"/>
            <w:bottom w:val="none" w:sz="0" w:space="0" w:color="auto"/>
            <w:right w:val="none" w:sz="0" w:space="0" w:color="auto"/>
          </w:divBdr>
        </w:div>
      </w:divsChild>
    </w:div>
    <w:div w:id="1580823379">
      <w:bodyDiv w:val="1"/>
      <w:marLeft w:val="0"/>
      <w:marRight w:val="0"/>
      <w:marTop w:val="0"/>
      <w:marBottom w:val="0"/>
      <w:divBdr>
        <w:top w:val="none" w:sz="0" w:space="0" w:color="auto"/>
        <w:left w:val="none" w:sz="0" w:space="0" w:color="auto"/>
        <w:bottom w:val="none" w:sz="0" w:space="0" w:color="auto"/>
        <w:right w:val="none" w:sz="0" w:space="0" w:color="auto"/>
      </w:divBdr>
    </w:div>
    <w:div w:id="1583484624">
      <w:bodyDiv w:val="1"/>
      <w:marLeft w:val="0"/>
      <w:marRight w:val="0"/>
      <w:marTop w:val="0"/>
      <w:marBottom w:val="0"/>
      <w:divBdr>
        <w:top w:val="none" w:sz="0" w:space="0" w:color="auto"/>
        <w:left w:val="none" w:sz="0" w:space="0" w:color="auto"/>
        <w:bottom w:val="none" w:sz="0" w:space="0" w:color="auto"/>
        <w:right w:val="none" w:sz="0" w:space="0" w:color="auto"/>
      </w:divBdr>
    </w:div>
    <w:div w:id="1617758064">
      <w:bodyDiv w:val="1"/>
      <w:marLeft w:val="0"/>
      <w:marRight w:val="0"/>
      <w:marTop w:val="0"/>
      <w:marBottom w:val="0"/>
      <w:divBdr>
        <w:top w:val="none" w:sz="0" w:space="0" w:color="auto"/>
        <w:left w:val="none" w:sz="0" w:space="0" w:color="auto"/>
        <w:bottom w:val="none" w:sz="0" w:space="0" w:color="auto"/>
        <w:right w:val="none" w:sz="0" w:space="0" w:color="auto"/>
      </w:divBdr>
    </w:div>
    <w:div w:id="1660571880">
      <w:bodyDiv w:val="1"/>
      <w:marLeft w:val="0"/>
      <w:marRight w:val="0"/>
      <w:marTop w:val="0"/>
      <w:marBottom w:val="0"/>
      <w:divBdr>
        <w:top w:val="none" w:sz="0" w:space="0" w:color="auto"/>
        <w:left w:val="none" w:sz="0" w:space="0" w:color="auto"/>
        <w:bottom w:val="none" w:sz="0" w:space="0" w:color="auto"/>
        <w:right w:val="none" w:sz="0" w:space="0" w:color="auto"/>
      </w:divBdr>
    </w:div>
    <w:div w:id="1666854533">
      <w:bodyDiv w:val="1"/>
      <w:marLeft w:val="0"/>
      <w:marRight w:val="0"/>
      <w:marTop w:val="0"/>
      <w:marBottom w:val="0"/>
      <w:divBdr>
        <w:top w:val="none" w:sz="0" w:space="0" w:color="auto"/>
        <w:left w:val="none" w:sz="0" w:space="0" w:color="auto"/>
        <w:bottom w:val="none" w:sz="0" w:space="0" w:color="auto"/>
        <w:right w:val="none" w:sz="0" w:space="0" w:color="auto"/>
      </w:divBdr>
    </w:div>
    <w:div w:id="1693264164">
      <w:bodyDiv w:val="1"/>
      <w:marLeft w:val="0"/>
      <w:marRight w:val="0"/>
      <w:marTop w:val="0"/>
      <w:marBottom w:val="0"/>
      <w:divBdr>
        <w:top w:val="none" w:sz="0" w:space="0" w:color="auto"/>
        <w:left w:val="none" w:sz="0" w:space="0" w:color="auto"/>
        <w:bottom w:val="none" w:sz="0" w:space="0" w:color="auto"/>
        <w:right w:val="none" w:sz="0" w:space="0" w:color="auto"/>
      </w:divBdr>
    </w:div>
    <w:div w:id="1752197051">
      <w:bodyDiv w:val="1"/>
      <w:marLeft w:val="0"/>
      <w:marRight w:val="0"/>
      <w:marTop w:val="0"/>
      <w:marBottom w:val="0"/>
      <w:divBdr>
        <w:top w:val="none" w:sz="0" w:space="0" w:color="auto"/>
        <w:left w:val="none" w:sz="0" w:space="0" w:color="auto"/>
        <w:bottom w:val="none" w:sz="0" w:space="0" w:color="auto"/>
        <w:right w:val="none" w:sz="0" w:space="0" w:color="auto"/>
      </w:divBdr>
    </w:div>
    <w:div w:id="1786999682">
      <w:bodyDiv w:val="1"/>
      <w:marLeft w:val="0"/>
      <w:marRight w:val="0"/>
      <w:marTop w:val="0"/>
      <w:marBottom w:val="0"/>
      <w:divBdr>
        <w:top w:val="none" w:sz="0" w:space="0" w:color="auto"/>
        <w:left w:val="none" w:sz="0" w:space="0" w:color="auto"/>
        <w:bottom w:val="none" w:sz="0" w:space="0" w:color="auto"/>
        <w:right w:val="none" w:sz="0" w:space="0" w:color="auto"/>
      </w:divBdr>
    </w:div>
    <w:div w:id="1794059420">
      <w:bodyDiv w:val="1"/>
      <w:marLeft w:val="0"/>
      <w:marRight w:val="0"/>
      <w:marTop w:val="0"/>
      <w:marBottom w:val="0"/>
      <w:divBdr>
        <w:top w:val="none" w:sz="0" w:space="0" w:color="auto"/>
        <w:left w:val="none" w:sz="0" w:space="0" w:color="auto"/>
        <w:bottom w:val="none" w:sz="0" w:space="0" w:color="auto"/>
        <w:right w:val="none" w:sz="0" w:space="0" w:color="auto"/>
      </w:divBdr>
    </w:div>
    <w:div w:id="1910336003">
      <w:bodyDiv w:val="1"/>
      <w:marLeft w:val="0"/>
      <w:marRight w:val="0"/>
      <w:marTop w:val="0"/>
      <w:marBottom w:val="0"/>
      <w:divBdr>
        <w:top w:val="none" w:sz="0" w:space="0" w:color="auto"/>
        <w:left w:val="none" w:sz="0" w:space="0" w:color="auto"/>
        <w:bottom w:val="none" w:sz="0" w:space="0" w:color="auto"/>
        <w:right w:val="none" w:sz="0" w:space="0" w:color="auto"/>
      </w:divBdr>
    </w:div>
    <w:div w:id="1916545666">
      <w:bodyDiv w:val="1"/>
      <w:marLeft w:val="0"/>
      <w:marRight w:val="0"/>
      <w:marTop w:val="0"/>
      <w:marBottom w:val="0"/>
      <w:divBdr>
        <w:top w:val="none" w:sz="0" w:space="0" w:color="auto"/>
        <w:left w:val="none" w:sz="0" w:space="0" w:color="auto"/>
        <w:bottom w:val="none" w:sz="0" w:space="0" w:color="auto"/>
        <w:right w:val="none" w:sz="0" w:space="0" w:color="auto"/>
      </w:divBdr>
    </w:div>
    <w:div w:id="1928609565">
      <w:bodyDiv w:val="1"/>
      <w:marLeft w:val="0"/>
      <w:marRight w:val="0"/>
      <w:marTop w:val="0"/>
      <w:marBottom w:val="0"/>
      <w:divBdr>
        <w:top w:val="none" w:sz="0" w:space="0" w:color="auto"/>
        <w:left w:val="none" w:sz="0" w:space="0" w:color="auto"/>
        <w:bottom w:val="none" w:sz="0" w:space="0" w:color="auto"/>
        <w:right w:val="none" w:sz="0" w:space="0" w:color="auto"/>
      </w:divBdr>
    </w:div>
    <w:div w:id="1959558259">
      <w:bodyDiv w:val="1"/>
      <w:marLeft w:val="0"/>
      <w:marRight w:val="0"/>
      <w:marTop w:val="0"/>
      <w:marBottom w:val="0"/>
      <w:divBdr>
        <w:top w:val="none" w:sz="0" w:space="0" w:color="auto"/>
        <w:left w:val="none" w:sz="0" w:space="0" w:color="auto"/>
        <w:bottom w:val="none" w:sz="0" w:space="0" w:color="auto"/>
        <w:right w:val="none" w:sz="0" w:space="0" w:color="auto"/>
      </w:divBdr>
    </w:div>
    <w:div w:id="1989163204">
      <w:bodyDiv w:val="1"/>
      <w:marLeft w:val="0"/>
      <w:marRight w:val="0"/>
      <w:marTop w:val="0"/>
      <w:marBottom w:val="0"/>
      <w:divBdr>
        <w:top w:val="none" w:sz="0" w:space="0" w:color="auto"/>
        <w:left w:val="none" w:sz="0" w:space="0" w:color="auto"/>
        <w:bottom w:val="none" w:sz="0" w:space="0" w:color="auto"/>
        <w:right w:val="none" w:sz="0" w:space="0" w:color="auto"/>
      </w:divBdr>
    </w:div>
    <w:div w:id="2031635975">
      <w:bodyDiv w:val="1"/>
      <w:marLeft w:val="0"/>
      <w:marRight w:val="0"/>
      <w:marTop w:val="0"/>
      <w:marBottom w:val="0"/>
      <w:divBdr>
        <w:top w:val="none" w:sz="0" w:space="0" w:color="auto"/>
        <w:left w:val="none" w:sz="0" w:space="0" w:color="auto"/>
        <w:bottom w:val="none" w:sz="0" w:space="0" w:color="auto"/>
        <w:right w:val="none" w:sz="0" w:space="0" w:color="auto"/>
      </w:divBdr>
    </w:div>
    <w:div w:id="2100176619">
      <w:bodyDiv w:val="1"/>
      <w:marLeft w:val="0"/>
      <w:marRight w:val="0"/>
      <w:marTop w:val="0"/>
      <w:marBottom w:val="0"/>
      <w:divBdr>
        <w:top w:val="none" w:sz="0" w:space="0" w:color="auto"/>
        <w:left w:val="none" w:sz="0" w:space="0" w:color="auto"/>
        <w:bottom w:val="none" w:sz="0" w:space="0" w:color="auto"/>
        <w:right w:val="none" w:sz="0" w:space="0" w:color="auto"/>
      </w:divBdr>
    </w:div>
    <w:div w:id="2139638039">
      <w:bodyDiv w:val="1"/>
      <w:marLeft w:val="0"/>
      <w:marRight w:val="0"/>
      <w:marTop w:val="0"/>
      <w:marBottom w:val="0"/>
      <w:divBdr>
        <w:top w:val="none" w:sz="0" w:space="0" w:color="auto"/>
        <w:left w:val="none" w:sz="0" w:space="0" w:color="auto"/>
        <w:bottom w:val="none" w:sz="0" w:space="0" w:color="auto"/>
        <w:right w:val="none" w:sz="0" w:space="0" w:color="auto"/>
      </w:divBdr>
    </w:div>
    <w:div w:id="214677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teusz.jakut@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cja.rcl.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ulqa094@gmail.com" TargetMode="External"/><Relationship Id="rId4" Type="http://schemas.openxmlformats.org/officeDocument/2006/relationships/settings" Target="settings.xml"/><Relationship Id="rId9" Type="http://schemas.openxmlformats.org/officeDocument/2006/relationships/hyperlink" Target="http://legislacja.rcl.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7B3F1-E6C7-416A-8CE5-67ECA578F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8624</Words>
  <Characters>51749</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L</vt:lpstr>
    </vt:vector>
  </TitlesOfParts>
  <Company/>
  <LinksUpToDate>false</LinksUpToDate>
  <CharactersWithSpaces>60253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subject/>
  <dc:creator>d.poplawska</dc:creator>
  <cp:keywords/>
  <cp:lastModifiedBy>Sędek Joanna</cp:lastModifiedBy>
  <cp:revision>2</cp:revision>
  <cp:lastPrinted>2017-01-23T11:18:00Z</cp:lastPrinted>
  <dcterms:created xsi:type="dcterms:W3CDTF">2024-02-15T14:24:00Z</dcterms:created>
  <dcterms:modified xsi:type="dcterms:W3CDTF">2024-02-15T14:24:00Z</dcterms:modified>
</cp:coreProperties>
</file>